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C5" w:rsidRPr="00A448B9" w:rsidRDefault="007A4CC5" w:rsidP="007A4CC5">
      <w:pPr>
        <w:spacing w:before="120"/>
        <w:jc w:val="center"/>
      </w:pPr>
      <w:r w:rsidRPr="00A448B9">
        <w:t>ANNEXE B</w:t>
      </w:r>
      <w:r w:rsidR="002C6959">
        <w:t xml:space="preserve"> (1)</w:t>
      </w:r>
    </w:p>
    <w:p w:rsidR="007A4CC5" w:rsidRPr="00A448B9" w:rsidRDefault="007A4CC5" w:rsidP="007A4CC5">
      <w:pPr>
        <w:spacing w:before="120"/>
        <w:jc w:val="center"/>
      </w:pPr>
      <w:r w:rsidRPr="00A448B9">
        <w:t>Types de projets devant être soumis à la vérification de l’applicabilité des procédures visées aux art. 6, 15 et 17 de la loi régionale n° 12 du 26 mai 2009</w:t>
      </w:r>
    </w:p>
    <w:p w:rsidR="007A4CC5" w:rsidRPr="00A448B9" w:rsidRDefault="007A4CC5" w:rsidP="007A4CC5">
      <w:pPr>
        <w:numPr>
          <w:ilvl w:val="0"/>
          <w:numId w:val="19"/>
        </w:numPr>
        <w:spacing w:before="120"/>
      </w:pPr>
      <w:r w:rsidRPr="00A448B9">
        <w:t>Agriculture :</w:t>
      </w:r>
    </w:p>
    <w:p w:rsidR="007A4CC5" w:rsidRPr="00A448B9" w:rsidRDefault="007A4CC5" w:rsidP="007A4CC5">
      <w:pPr>
        <w:numPr>
          <w:ilvl w:val="1"/>
          <w:numId w:val="19"/>
        </w:numPr>
        <w:spacing w:before="120"/>
      </w:pPr>
      <w:r w:rsidRPr="00A448B9">
        <w:t>Affectation de terres incultes ou d’étendues semi-naturelles ou naturelles à l’exploitation agricole intensive et réaménagement foncier, lorsque la surface concernée est supérieure à 5 hectares ;</w:t>
      </w:r>
    </w:p>
    <w:p w:rsidR="007A4CC5" w:rsidRPr="00A448B9" w:rsidRDefault="007A4CC5" w:rsidP="007A4CC5">
      <w:pPr>
        <w:numPr>
          <w:ilvl w:val="1"/>
          <w:numId w:val="19"/>
        </w:numPr>
        <w:spacing w:before="120"/>
      </w:pPr>
      <w:r w:rsidRPr="00A448B9">
        <w:t>Premier boisement de surfaces supérieures à 20 hectares et déboisement en vue de la reconversion de sols d’une surface de plus de 5 hectares  ;</w:t>
      </w:r>
    </w:p>
    <w:p w:rsidR="007A4CC5" w:rsidRPr="00A448B9" w:rsidRDefault="007A4CC5" w:rsidP="007A4CC5">
      <w:pPr>
        <w:numPr>
          <w:ilvl w:val="1"/>
          <w:numId w:val="19"/>
        </w:numPr>
        <w:spacing w:before="120"/>
      </w:pPr>
      <w:r w:rsidRPr="00A448B9">
        <w:t>I</w:t>
      </w:r>
      <w:r w:rsidRPr="00A448B9">
        <w:rPr>
          <w:lang w:eastAsia="fr-FR"/>
        </w:rPr>
        <w:t>nstallations destinées à l’élevage intensif  abritant</w:t>
      </w:r>
      <w:r w:rsidRPr="00A448B9">
        <w:t xml:space="preserve"> :</w:t>
      </w:r>
    </w:p>
    <w:p w:rsidR="007A4CC5" w:rsidRPr="00A448B9" w:rsidRDefault="007A4CC5" w:rsidP="007A4CC5">
      <w:pPr>
        <w:numPr>
          <w:ilvl w:val="2"/>
          <w:numId w:val="19"/>
        </w:numPr>
        <w:spacing w:before="120"/>
        <w:ind w:left="1204"/>
      </w:pPr>
      <w:r w:rsidRPr="00A448B9">
        <w:t>Plus de 1 000 volailles ;</w:t>
      </w:r>
    </w:p>
    <w:p w:rsidR="007A4CC5" w:rsidRPr="00A448B9" w:rsidRDefault="007A4CC5" w:rsidP="007A4CC5">
      <w:pPr>
        <w:numPr>
          <w:ilvl w:val="2"/>
          <w:numId w:val="19"/>
        </w:numPr>
        <w:spacing w:before="120"/>
        <w:ind w:left="1204"/>
      </w:pPr>
      <w:r w:rsidRPr="00A448B9">
        <w:t>Plus de 800 lapins ;</w:t>
      </w:r>
    </w:p>
    <w:p w:rsidR="007A4CC5" w:rsidRPr="00A448B9" w:rsidRDefault="007A4CC5" w:rsidP="007A4CC5">
      <w:pPr>
        <w:numPr>
          <w:ilvl w:val="2"/>
          <w:numId w:val="19"/>
        </w:numPr>
        <w:spacing w:before="120"/>
        <w:ind w:left="1204"/>
      </w:pPr>
      <w:r w:rsidRPr="00A448B9">
        <w:t>Plus de 120</w:t>
      </w:r>
      <w:r w:rsidRPr="00A448B9">
        <w:rPr>
          <w:lang w:eastAsia="fr-FR"/>
        </w:rPr>
        <w:t xml:space="preserve"> porcs de production de plus de 30 kg ou plus de 45 truies ;</w:t>
      </w:r>
    </w:p>
    <w:p w:rsidR="007A4CC5" w:rsidRPr="00A448B9" w:rsidRDefault="007A4CC5" w:rsidP="007A4CC5">
      <w:pPr>
        <w:numPr>
          <w:ilvl w:val="2"/>
          <w:numId w:val="19"/>
        </w:numPr>
        <w:spacing w:before="120"/>
        <w:ind w:left="1204"/>
      </w:pPr>
      <w:r w:rsidRPr="00A448B9">
        <w:t>Plus de 200 ovins ou caprins ;</w:t>
      </w:r>
    </w:p>
    <w:p w:rsidR="007A4CC5" w:rsidRPr="00A448B9" w:rsidRDefault="007A4CC5" w:rsidP="007A4CC5">
      <w:pPr>
        <w:numPr>
          <w:ilvl w:val="2"/>
          <w:numId w:val="19"/>
        </w:numPr>
        <w:spacing w:before="120"/>
        <w:ind w:left="1204"/>
      </w:pPr>
      <w:r w:rsidRPr="00A448B9">
        <w:rPr>
          <w:lang w:eastAsia="fr-FR"/>
        </w:rPr>
        <w:t>Pour les autres catégories, plus de 50 unités de gros bétail (UGB).</w:t>
      </w:r>
    </w:p>
    <w:p w:rsidR="007A4CC5" w:rsidRPr="00A448B9" w:rsidRDefault="007A4CC5" w:rsidP="007A4CC5">
      <w:pPr>
        <w:spacing w:before="120"/>
        <w:ind w:left="918"/>
      </w:pPr>
      <w:r w:rsidRPr="00A448B9">
        <w:t>Les élevages des fonds de vallée qui ne disposent pas de terrains et, en tout cas, ceux dont le rapport entre le chargement animal et la surface fourragère de l’exploitation est en déséquilibre sont considérés comme des élevages intensifs.</w:t>
      </w:r>
    </w:p>
    <w:p w:rsidR="007A4CC5" w:rsidRPr="00A448B9" w:rsidRDefault="007A4CC5" w:rsidP="007A4CC5">
      <w:pPr>
        <w:spacing w:before="120"/>
        <w:ind w:left="907"/>
      </w:pPr>
      <w:r w:rsidRPr="00A448B9">
        <w:t>Il y a déséquilibre dans les cas suivants :</w:t>
      </w:r>
    </w:p>
    <w:p w:rsidR="007A4CC5" w:rsidRPr="00A448B9" w:rsidRDefault="007A4CC5" w:rsidP="007A4CC5">
      <w:pPr>
        <w:pStyle w:val="Paragrafoelenco"/>
        <w:numPr>
          <w:ilvl w:val="2"/>
          <w:numId w:val="18"/>
        </w:numPr>
        <w:spacing w:before="120"/>
      </w:pPr>
      <w:r w:rsidRPr="00A448B9">
        <w:t>l’élevage a un chargement UGB/ha supérieur à 6 ;</w:t>
      </w:r>
    </w:p>
    <w:p w:rsidR="007A4CC5" w:rsidRPr="00A448B9" w:rsidRDefault="007A4CC5" w:rsidP="007A4CC5">
      <w:pPr>
        <w:pStyle w:val="Paragrafoelenco"/>
        <w:numPr>
          <w:ilvl w:val="2"/>
          <w:numId w:val="18"/>
        </w:numPr>
        <w:spacing w:before="120"/>
      </w:pPr>
      <w:r w:rsidRPr="00A448B9">
        <w:t>l’élevage a un rapport poids vif par hectare de terrain exploité pour la production des aliments supérieur à 40 quintaux.</w:t>
      </w:r>
    </w:p>
    <w:p w:rsidR="007A4CC5" w:rsidRPr="00A448B9" w:rsidRDefault="007A4CC5" w:rsidP="007A4CC5">
      <w:pPr>
        <w:numPr>
          <w:ilvl w:val="1"/>
          <w:numId w:val="19"/>
        </w:numPr>
        <w:spacing w:before="120"/>
      </w:pPr>
      <w:r w:rsidRPr="00A448B9">
        <w:t>Travaux d’hydraulique agricole ainsi que d’irrigation et de drainage de terres, lorsque la surface concernée est supérieure à 50 hectares ;</w:t>
      </w:r>
    </w:p>
    <w:p w:rsidR="007A4CC5" w:rsidRPr="00A448B9" w:rsidRDefault="007A4CC5" w:rsidP="007A4CC5">
      <w:pPr>
        <w:numPr>
          <w:ilvl w:val="1"/>
          <w:numId w:val="19"/>
        </w:numPr>
        <w:spacing w:before="120"/>
      </w:pPr>
      <w:r w:rsidRPr="00A448B9">
        <w:t>Installations de pisciculture, lorsque la surface totale concernée est supérieure à 1 hectare ;</w:t>
      </w:r>
    </w:p>
    <w:p w:rsidR="007A4CC5" w:rsidRPr="00A448B9" w:rsidRDefault="007A4CC5" w:rsidP="007A4CC5">
      <w:pPr>
        <w:numPr>
          <w:ilvl w:val="1"/>
          <w:numId w:val="19"/>
        </w:numPr>
        <w:spacing w:before="120"/>
      </w:pPr>
      <w:r w:rsidRPr="00A448B9">
        <w:t>Remembrement rural, lorsque la surface concernée est supérieure à 50 hectares ;</w:t>
      </w:r>
    </w:p>
    <w:p w:rsidR="007A4CC5" w:rsidRPr="00A448B9" w:rsidRDefault="007A4CC5" w:rsidP="007A4CC5">
      <w:pPr>
        <w:numPr>
          <w:ilvl w:val="1"/>
          <w:numId w:val="19"/>
        </w:numPr>
        <w:spacing w:before="120"/>
      </w:pPr>
      <w:r w:rsidRPr="00A448B9">
        <w:t>Serres, lorsque la surface concernée est supérieure à 1 hectare.</w:t>
      </w:r>
    </w:p>
    <w:p w:rsidR="007A4CC5" w:rsidRPr="00A448B9" w:rsidRDefault="007A4CC5" w:rsidP="007A4CC5">
      <w:pPr>
        <w:numPr>
          <w:ilvl w:val="0"/>
          <w:numId w:val="19"/>
        </w:numPr>
        <w:spacing w:before="120"/>
      </w:pPr>
      <w:r w:rsidRPr="00A448B9">
        <w:t>Industrie énergétique et extractive :</w:t>
      </w:r>
    </w:p>
    <w:p w:rsidR="007A4CC5" w:rsidRPr="00A448B9" w:rsidRDefault="007A4CC5" w:rsidP="007A4CC5">
      <w:pPr>
        <w:numPr>
          <w:ilvl w:val="1"/>
          <w:numId w:val="19"/>
        </w:numPr>
        <w:spacing w:before="120"/>
      </w:pPr>
      <w:r w:rsidRPr="00A448B9">
        <w:t>Installations thermiques pour la production d’énergie électrique, de vapeur et d’eau chaude, d’une puissance thermique installée totale comprise entre 3 et 15  MW ou, lorsqu’elles alimentent un réseau de chauffage urbain ayant une conduite principale d’un diamètre supérieur à 350 millimètres ou d’une longueur supérieure à 10 kilomètres ;</w:t>
      </w:r>
    </w:p>
    <w:p w:rsidR="007A4CC5" w:rsidRPr="00A448B9" w:rsidRDefault="007A4CC5" w:rsidP="007A4CC5">
      <w:pPr>
        <w:numPr>
          <w:ilvl w:val="1"/>
          <w:numId w:val="19"/>
        </w:numPr>
        <w:spacing w:before="120"/>
      </w:pPr>
      <w:r w:rsidRPr="00A448B9">
        <w:t>Activités de recherche sur terre des substances minérales visées aux lois sectorielles et des ressources géothermiques, à l’exception des installations géothermiques visées au septième alinéa de l’art. 10 du décret législatif n° 22 du 11 février 2010 (Refonte des dispositions en matière de recherche et d’exploitation des ressources géothermiques au sens du vingt-huitième alinéa de l’art. 27 de la loi n° 99 du 23 juillet 2009) ;</w:t>
      </w:r>
    </w:p>
    <w:p w:rsidR="007A4CC5" w:rsidRPr="00A448B9" w:rsidRDefault="007A4CC5" w:rsidP="007A4CC5">
      <w:pPr>
        <w:numPr>
          <w:ilvl w:val="1"/>
          <w:numId w:val="19"/>
        </w:numPr>
        <w:spacing w:before="120"/>
      </w:pPr>
      <w:r w:rsidRPr="00A448B9">
        <w:t>Installations industrielles destinées à la production d’énergie électrique, de vapeur et d’eau chaude d’une puissance supérieure à 1 MW autres que les usines thermiques ;</w:t>
      </w:r>
    </w:p>
    <w:p w:rsidR="007A4CC5" w:rsidRPr="00A448B9" w:rsidRDefault="007A4CC5" w:rsidP="007A4CC5">
      <w:pPr>
        <w:numPr>
          <w:ilvl w:val="1"/>
          <w:numId w:val="19"/>
        </w:numPr>
        <w:spacing w:before="120"/>
      </w:pPr>
      <w:r w:rsidRPr="00A448B9">
        <w:lastRenderedPageBreak/>
        <w:t>Installations industrielles destinées au transport de gaz, de vapeur et d’eau chaude qui alimentent des conduites d’une longueur totale supérieure à 10 kilomètres ;</w:t>
      </w:r>
    </w:p>
    <w:p w:rsidR="007A4CC5" w:rsidRPr="00A448B9" w:rsidRDefault="007A4CC5" w:rsidP="007A4CC5">
      <w:pPr>
        <w:numPr>
          <w:ilvl w:val="1"/>
          <w:numId w:val="19"/>
        </w:numPr>
        <w:spacing w:before="120"/>
      </w:pPr>
      <w:r w:rsidRPr="00A448B9">
        <w:t>Installations destinées à l’exploitation de l’énergie éolienne pour la production d’énergie d’une puissance installée totale comprise entre 20 et 100 kW ou dont les éoliennes ont soit une hauteur maximale (mesurée jusqu’au rotor, si celui-ci est horizontal) supérieure à 15 mètres, soit un rotor au diamètre supérieur à 5 m ;</w:t>
      </w:r>
    </w:p>
    <w:p w:rsidR="007A4CC5" w:rsidRPr="00A448B9" w:rsidRDefault="007A4CC5" w:rsidP="007A4CC5">
      <w:pPr>
        <w:numPr>
          <w:ilvl w:val="1"/>
          <w:numId w:val="19"/>
        </w:numPr>
        <w:spacing w:before="120"/>
      </w:pPr>
      <w:r w:rsidRPr="00A448B9">
        <w:t>Installations photovoltaïques d’une puissance installée totale supérieure à 100 kW ;</w:t>
      </w:r>
    </w:p>
    <w:p w:rsidR="007A4CC5" w:rsidRPr="00A448B9" w:rsidRDefault="007A4CC5" w:rsidP="007A4CC5">
      <w:pPr>
        <w:numPr>
          <w:ilvl w:val="1"/>
          <w:numId w:val="19"/>
        </w:numPr>
        <w:spacing w:before="120"/>
      </w:pPr>
      <w:r w:rsidRPr="00A448B9">
        <w:t>Oléoducs et gazoducs d’une longueur totale supérieure à 10 kilomètres ;</w:t>
      </w:r>
    </w:p>
    <w:p w:rsidR="007A4CC5" w:rsidRPr="00A448B9" w:rsidRDefault="007A4CC5" w:rsidP="007A4CC5">
      <w:pPr>
        <w:numPr>
          <w:ilvl w:val="1"/>
          <w:numId w:val="19"/>
        </w:numPr>
        <w:spacing w:before="120"/>
      </w:pPr>
      <w:r w:rsidRPr="00A448B9">
        <w:t>Activités de recherche sur terre d’hydrocarbures liquides et gazeux ;</w:t>
      </w:r>
    </w:p>
    <w:p w:rsidR="007A4CC5" w:rsidRPr="00A448B9" w:rsidRDefault="007A4CC5" w:rsidP="007A4CC5">
      <w:pPr>
        <w:numPr>
          <w:ilvl w:val="1"/>
          <w:numId w:val="19"/>
        </w:numPr>
        <w:spacing w:before="120"/>
      </w:pPr>
      <w:r w:rsidRPr="00A448B9">
        <w:t>Extraction des substances minérales visées aux lois sectorielles, par dragage des cours d’eau ;</w:t>
      </w:r>
    </w:p>
    <w:p w:rsidR="007A4CC5" w:rsidRPr="00A448B9" w:rsidRDefault="007A4CC5" w:rsidP="007A4CC5">
      <w:pPr>
        <w:numPr>
          <w:ilvl w:val="1"/>
          <w:numId w:val="19"/>
        </w:numPr>
        <w:spacing w:before="120"/>
      </w:pPr>
      <w:r w:rsidRPr="00A448B9">
        <w:t>Agglomérations industrielles de houille et de lignite ;</w:t>
      </w:r>
    </w:p>
    <w:p w:rsidR="007A4CC5" w:rsidRPr="00A448B9" w:rsidRDefault="007A4CC5" w:rsidP="007A4CC5">
      <w:pPr>
        <w:numPr>
          <w:ilvl w:val="1"/>
          <w:numId w:val="19"/>
        </w:numPr>
        <w:spacing w:before="120"/>
      </w:pPr>
      <w:r w:rsidRPr="00A448B9">
        <w:t>Installations industrielles de surface pour l’extraction de houille, de pétrole, de gaz naturel et de minerais métalliques, ainsi que de schiste bitumineux ;</w:t>
      </w:r>
    </w:p>
    <w:p w:rsidR="007A4CC5" w:rsidRPr="00A448B9" w:rsidRDefault="007A4CC5" w:rsidP="007A4CC5">
      <w:pPr>
        <w:numPr>
          <w:ilvl w:val="1"/>
          <w:numId w:val="19"/>
        </w:numPr>
        <w:spacing w:before="120"/>
      </w:pPr>
      <w:r w:rsidRPr="00A448B9">
        <w:t xml:space="preserve">Installations de production d’énergie hydroélectrique d’une puissance nominale disponible supérieure à 100 kW ou, dans le cas des installations hydroélectriques utilisant uniquement des canalisations ou des conduites existantes, sans augmentation du débit de dérivation, supérieure à 250 kW ; </w:t>
      </w:r>
    </w:p>
    <w:p w:rsidR="007A4CC5" w:rsidRPr="00A448B9" w:rsidRDefault="007A4CC5" w:rsidP="007A4CC5">
      <w:pPr>
        <w:numPr>
          <w:ilvl w:val="1"/>
          <w:numId w:val="19"/>
        </w:numPr>
        <w:spacing w:before="120"/>
      </w:pPr>
      <w:r w:rsidRPr="00A448B9">
        <w:t>Installations de gazéification et de liquéfaction du charbon.</w:t>
      </w:r>
    </w:p>
    <w:p w:rsidR="007A4CC5" w:rsidRPr="00A448B9" w:rsidRDefault="007A4CC5" w:rsidP="007A4CC5">
      <w:pPr>
        <w:numPr>
          <w:ilvl w:val="0"/>
          <w:numId w:val="19"/>
        </w:numPr>
        <w:spacing w:before="120"/>
      </w:pPr>
      <w:r w:rsidRPr="00A448B9">
        <w:t>Travail des métaux et des produits miniers :</w:t>
      </w:r>
    </w:p>
    <w:p w:rsidR="007A4CC5" w:rsidRPr="00A448B9" w:rsidRDefault="007A4CC5" w:rsidP="007A4CC5">
      <w:pPr>
        <w:numPr>
          <w:ilvl w:val="1"/>
          <w:numId w:val="19"/>
        </w:numPr>
        <w:spacing w:before="120"/>
      </w:pPr>
      <w:r w:rsidRPr="00A448B9">
        <w:t>Installations de grillage ou de frittage des minerais métallifères d’un volume de plus de 10 000 mètres cubes ;</w:t>
      </w:r>
    </w:p>
    <w:p w:rsidR="007A4CC5" w:rsidRPr="00A448B9" w:rsidRDefault="007A4CC5" w:rsidP="007A4CC5">
      <w:pPr>
        <w:numPr>
          <w:ilvl w:val="1"/>
          <w:numId w:val="19"/>
        </w:numPr>
        <w:spacing w:before="120"/>
      </w:pPr>
      <w:r w:rsidRPr="00A448B9">
        <w:t>Installations de production de fonte ou d’acier (fusion primaire ou secondaire), y compris par coulée continue ;</w:t>
      </w:r>
    </w:p>
    <w:p w:rsidR="007A4CC5" w:rsidRPr="00A448B9" w:rsidRDefault="007A4CC5" w:rsidP="007A4CC5">
      <w:pPr>
        <w:numPr>
          <w:ilvl w:val="1"/>
          <w:numId w:val="19"/>
        </w:numPr>
        <w:spacing w:before="120"/>
      </w:pPr>
      <w:r w:rsidRPr="00A448B9">
        <w:t>Installations de t</w:t>
      </w:r>
      <w:r w:rsidRPr="00A448B9">
        <w:rPr>
          <w:lang w:eastAsia="fr-FR"/>
        </w:rPr>
        <w:t>ransformation des métaux ferreux</w:t>
      </w:r>
      <w:r w:rsidRPr="00A448B9">
        <w:t xml:space="preserve"> par :</w:t>
      </w:r>
    </w:p>
    <w:p w:rsidR="007A4CC5" w:rsidRPr="00A448B9" w:rsidRDefault="007A4CC5" w:rsidP="007A4CC5">
      <w:pPr>
        <w:numPr>
          <w:ilvl w:val="2"/>
          <w:numId w:val="19"/>
        </w:numPr>
        <w:spacing w:before="120"/>
        <w:ind w:left="1176"/>
      </w:pPr>
      <w:r w:rsidRPr="00A448B9">
        <w:rPr>
          <w:lang w:eastAsia="fr-FR"/>
        </w:rPr>
        <w:t>Laminage à chaud ;</w:t>
      </w:r>
    </w:p>
    <w:p w:rsidR="007A4CC5" w:rsidRPr="00A448B9" w:rsidRDefault="007A4CC5" w:rsidP="007A4CC5">
      <w:pPr>
        <w:numPr>
          <w:ilvl w:val="2"/>
          <w:numId w:val="19"/>
        </w:numPr>
        <w:spacing w:before="120"/>
        <w:ind w:left="1176"/>
      </w:pPr>
      <w:r w:rsidRPr="00A448B9">
        <w:rPr>
          <w:lang w:eastAsia="fr-FR"/>
        </w:rPr>
        <w:t>Forgeage à l’aide de marteaux ;</w:t>
      </w:r>
    </w:p>
    <w:p w:rsidR="007A4CC5" w:rsidRPr="00A448B9" w:rsidRDefault="007A4CC5" w:rsidP="007A4CC5">
      <w:pPr>
        <w:numPr>
          <w:ilvl w:val="2"/>
          <w:numId w:val="19"/>
        </w:numPr>
        <w:spacing w:before="120"/>
        <w:ind w:left="1176"/>
      </w:pPr>
      <w:r w:rsidRPr="00A448B9">
        <w:rPr>
          <w:lang w:eastAsia="fr-FR"/>
        </w:rPr>
        <w:t>Application de couches de protection de métal en fusion ;</w:t>
      </w:r>
    </w:p>
    <w:p w:rsidR="007A4CC5" w:rsidRPr="00A448B9" w:rsidRDefault="007A4CC5" w:rsidP="007A4CC5">
      <w:pPr>
        <w:numPr>
          <w:ilvl w:val="1"/>
          <w:numId w:val="19"/>
        </w:numPr>
        <w:spacing w:before="120"/>
      </w:pPr>
      <w:r w:rsidRPr="00A448B9">
        <w:t>Fonderies de métaux ferreux ;</w:t>
      </w:r>
    </w:p>
    <w:p w:rsidR="007A4CC5" w:rsidRPr="00A448B9" w:rsidRDefault="007A4CC5" w:rsidP="007A4CC5">
      <w:pPr>
        <w:numPr>
          <w:ilvl w:val="1"/>
          <w:numId w:val="19"/>
        </w:numPr>
        <w:spacing w:before="120"/>
      </w:pPr>
      <w:r w:rsidRPr="00A448B9">
        <w:t>Installations de fusion, y compris d’alliage, de métaux non ferreux incluant les produits de récupération (affinage et moulage en fonderie) ;</w:t>
      </w:r>
    </w:p>
    <w:p w:rsidR="007A4CC5" w:rsidRPr="00A448B9" w:rsidRDefault="007A4CC5" w:rsidP="007A4CC5">
      <w:pPr>
        <w:numPr>
          <w:ilvl w:val="1"/>
          <w:numId w:val="19"/>
        </w:numPr>
        <w:spacing w:before="120"/>
      </w:pPr>
      <w:r w:rsidRPr="00A448B9">
        <w:t>Installations de traitement de surface de métaux et matières plastiques utilisant un procédé électrolytique ou chimique, lorsque le volume des cuves affectées au traitement mises en œuvre est supérieur à 30 mètres cubes</w:t>
      </w:r>
      <w:r w:rsidRPr="00A448B9">
        <w:rPr>
          <w:vertAlign w:val="superscript"/>
        </w:rPr>
        <w:t> </w:t>
      </w:r>
      <w:r w:rsidRPr="00A448B9">
        <w:t>;</w:t>
      </w:r>
    </w:p>
    <w:p w:rsidR="007A4CC5" w:rsidRPr="00A448B9" w:rsidRDefault="007A4CC5" w:rsidP="007A4CC5">
      <w:pPr>
        <w:numPr>
          <w:ilvl w:val="1"/>
          <w:numId w:val="19"/>
        </w:numPr>
        <w:spacing w:before="120"/>
      </w:pPr>
      <w:r w:rsidRPr="00A448B9">
        <w:t>Installations de construction et d’assemblage de véhicules automobiles et de motos et de construction de moteurs pour ceux-ci, de construction et de réparation d’aéronefs, ainsi que de construction de matériel ferroviaire, d’un volume de plus de 10 000 mètres cubes ;</w:t>
      </w:r>
    </w:p>
    <w:p w:rsidR="007A4CC5" w:rsidRPr="00A448B9" w:rsidRDefault="007A4CC5" w:rsidP="007A4CC5">
      <w:pPr>
        <w:numPr>
          <w:ilvl w:val="1"/>
          <w:numId w:val="19"/>
        </w:numPr>
        <w:spacing w:before="120"/>
      </w:pPr>
      <w:r w:rsidRPr="00A448B9">
        <w:t>Installations d’emboutissage de fonds par explosifs ;</w:t>
      </w:r>
    </w:p>
    <w:p w:rsidR="007A4CC5" w:rsidRPr="00A448B9" w:rsidRDefault="007A4CC5" w:rsidP="007A4CC5">
      <w:pPr>
        <w:numPr>
          <w:ilvl w:val="1"/>
          <w:numId w:val="19"/>
        </w:numPr>
        <w:spacing w:before="120"/>
      </w:pPr>
      <w:r w:rsidRPr="00A448B9">
        <w:t>Cokeries (distillation sèche du charbon) ;</w:t>
      </w:r>
    </w:p>
    <w:p w:rsidR="007A4CC5" w:rsidRPr="00A448B9" w:rsidRDefault="007A4CC5" w:rsidP="007A4CC5">
      <w:pPr>
        <w:numPr>
          <w:ilvl w:val="1"/>
          <w:numId w:val="19"/>
        </w:numPr>
        <w:spacing w:before="120"/>
      </w:pPr>
      <w:r w:rsidRPr="00A448B9">
        <w:lastRenderedPageBreak/>
        <w:t>Installations de fabrication de produits céramiques par cuisson, notamment de tuiles, de briques, de pierres réfractaires, de carrelages, de grès ou de porcelaines, à l’exception des petites installations non destinées à la production industrielle en série ;</w:t>
      </w:r>
    </w:p>
    <w:p w:rsidR="007A4CC5" w:rsidRPr="00A448B9" w:rsidRDefault="007A4CC5" w:rsidP="007A4CC5">
      <w:pPr>
        <w:numPr>
          <w:ilvl w:val="1"/>
          <w:numId w:val="19"/>
        </w:numPr>
        <w:spacing w:before="120"/>
      </w:pPr>
      <w:r w:rsidRPr="00A448B9">
        <w:t>Installations de fusion des matières minérales ;</w:t>
      </w:r>
    </w:p>
    <w:p w:rsidR="007A4CC5" w:rsidRPr="00A448B9" w:rsidRDefault="007A4CC5" w:rsidP="007A4CC5">
      <w:pPr>
        <w:numPr>
          <w:ilvl w:val="1"/>
          <w:numId w:val="19"/>
        </w:numPr>
        <w:spacing w:before="120"/>
      </w:pPr>
      <w:r w:rsidRPr="00A448B9">
        <w:t>Installations de fabrication du verre, y compris celles destinées à la production de fibres de verre ;</w:t>
      </w:r>
    </w:p>
    <w:p w:rsidR="007A4CC5" w:rsidRPr="00A448B9" w:rsidRDefault="007A4CC5" w:rsidP="007A4CC5">
      <w:pPr>
        <w:numPr>
          <w:ilvl w:val="1"/>
          <w:numId w:val="19"/>
        </w:numPr>
        <w:spacing w:before="120"/>
      </w:pPr>
      <w:r w:rsidRPr="00A448B9">
        <w:t>Installations de production de clinker (ciment) dans des fours rotatifs ou dans d’autres types de fours ;</w:t>
      </w:r>
    </w:p>
    <w:p w:rsidR="007A4CC5" w:rsidRPr="00A448B9" w:rsidRDefault="007A4CC5" w:rsidP="007A4CC5">
      <w:pPr>
        <w:numPr>
          <w:ilvl w:val="1"/>
          <w:numId w:val="19"/>
        </w:numPr>
        <w:spacing w:before="120"/>
      </w:pPr>
      <w:r w:rsidRPr="00A448B9">
        <w:t>Installations de traitement et de transformation de l’amiante ;</w:t>
      </w:r>
    </w:p>
    <w:p w:rsidR="007A4CC5" w:rsidRPr="00A448B9" w:rsidRDefault="007A4CC5" w:rsidP="007A4CC5">
      <w:pPr>
        <w:numPr>
          <w:ilvl w:val="1"/>
          <w:numId w:val="19"/>
        </w:numPr>
        <w:spacing w:before="120"/>
      </w:pPr>
      <w:r w:rsidRPr="00A448B9">
        <w:t>Installations métallurgiques d’un volume de plus de 5 000 mètres cubes.</w:t>
      </w:r>
    </w:p>
    <w:p w:rsidR="007A4CC5" w:rsidRPr="00A448B9" w:rsidRDefault="007A4CC5" w:rsidP="007A4CC5">
      <w:pPr>
        <w:numPr>
          <w:ilvl w:val="0"/>
          <w:numId w:val="19"/>
        </w:numPr>
        <w:spacing w:before="120"/>
      </w:pPr>
      <w:r w:rsidRPr="00A448B9">
        <w:rPr>
          <w:szCs w:val="24"/>
        </w:rPr>
        <w:t>Industrie alimentaire :</w:t>
      </w:r>
    </w:p>
    <w:p w:rsidR="007A4CC5" w:rsidRPr="00A448B9" w:rsidRDefault="007A4CC5" w:rsidP="007A4CC5">
      <w:pPr>
        <w:numPr>
          <w:ilvl w:val="1"/>
          <w:numId w:val="19"/>
        </w:numPr>
        <w:spacing w:before="120"/>
      </w:pPr>
      <w:r w:rsidRPr="00A448B9">
        <w:t>Installations de traitement et de transformation de matières premières animales (autre que le lait) d’une capacité de production de plus de 75 tonnes de produits finis par jour ;</w:t>
      </w:r>
    </w:p>
    <w:p w:rsidR="007A4CC5" w:rsidRPr="00A448B9" w:rsidRDefault="007A4CC5" w:rsidP="007A4CC5">
      <w:pPr>
        <w:numPr>
          <w:ilvl w:val="1"/>
          <w:numId w:val="19"/>
        </w:numPr>
        <w:spacing w:before="120"/>
      </w:pPr>
      <w:r w:rsidRPr="00A448B9">
        <w:t>Installations de traitement et de transformation de matières premières végétales d’une capacité de production moyenne, calculée sur une période de trois mois, de plus de 300 tonnes de produits finis par jour ;</w:t>
      </w:r>
    </w:p>
    <w:p w:rsidR="007A4CC5" w:rsidRPr="00A448B9" w:rsidRDefault="007A4CC5" w:rsidP="007A4CC5">
      <w:pPr>
        <w:numPr>
          <w:ilvl w:val="1"/>
          <w:numId w:val="19"/>
        </w:numPr>
        <w:spacing w:before="120"/>
      </w:pPr>
      <w:r w:rsidRPr="00A448B9">
        <w:t>I</w:t>
      </w:r>
      <w:r w:rsidRPr="00A448B9">
        <w:rPr>
          <w:szCs w:val="24"/>
        </w:rPr>
        <w:t>nstallations de fabrication de produits laitiers</w:t>
      </w:r>
      <w:r w:rsidRPr="00A448B9">
        <w:t xml:space="preserve"> d’une capacité de production moyenne, calculée sur une période de douze mois, de plus de 20 tonnes de produits par jour ;</w:t>
      </w:r>
    </w:p>
    <w:p w:rsidR="007A4CC5" w:rsidRPr="00A448B9" w:rsidRDefault="007A4CC5" w:rsidP="007A4CC5">
      <w:pPr>
        <w:numPr>
          <w:ilvl w:val="1"/>
          <w:numId w:val="19"/>
        </w:numPr>
        <w:spacing w:before="120"/>
      </w:pPr>
      <w:r w:rsidRPr="00A448B9">
        <w:rPr>
          <w:szCs w:val="24"/>
        </w:rPr>
        <w:t>Brasseries et malteries</w:t>
      </w:r>
      <w:r w:rsidRPr="00A448B9">
        <w:t xml:space="preserve"> d’une capacité de production de plus de 200 000 hectolitres par an ;</w:t>
      </w:r>
    </w:p>
    <w:p w:rsidR="007A4CC5" w:rsidRPr="00A448B9" w:rsidRDefault="007A4CC5" w:rsidP="007A4CC5">
      <w:pPr>
        <w:numPr>
          <w:ilvl w:val="1"/>
          <w:numId w:val="19"/>
        </w:numPr>
        <w:spacing w:before="120"/>
      </w:pPr>
      <w:r w:rsidRPr="00A448B9">
        <w:rPr>
          <w:szCs w:val="24"/>
        </w:rPr>
        <w:t>U</w:t>
      </w:r>
      <w:r w:rsidRPr="00A448B9">
        <w:t>sines de farine de poisson et d’huile de poisson d’une capacité de production de plus de 50 000 quintaux de produits finis par an ;</w:t>
      </w:r>
    </w:p>
    <w:p w:rsidR="007A4CC5" w:rsidRPr="00A448B9" w:rsidRDefault="007A4CC5" w:rsidP="007A4CC5">
      <w:pPr>
        <w:numPr>
          <w:ilvl w:val="1"/>
          <w:numId w:val="19"/>
        </w:numPr>
        <w:spacing w:before="120"/>
      </w:pPr>
      <w:r w:rsidRPr="00A448B9">
        <w:t>Installations de mouture des céréales, de fabrication des produits amylacés et d’aliments pour animaux d’élevage d’une surface de plus de 2 000 mètres carrés ou d’un volume de plus de 10 000 mètres cubes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Sucreries et installations de production de levures ;</w:t>
      </w:r>
    </w:p>
    <w:p w:rsidR="007A4CC5" w:rsidRPr="00A448B9" w:rsidRDefault="007A4CC5" w:rsidP="007A4CC5">
      <w:pPr>
        <w:numPr>
          <w:ilvl w:val="1"/>
          <w:numId w:val="19"/>
        </w:numPr>
        <w:spacing w:before="120"/>
      </w:pPr>
      <w:r w:rsidRPr="00A448B9">
        <w:t>I</w:t>
      </w:r>
      <w:r w:rsidRPr="00A448B9">
        <w:rPr>
          <w:szCs w:val="24"/>
        </w:rPr>
        <w:t>nstallations de fabrication de produits œnologiques</w:t>
      </w:r>
      <w:r w:rsidRPr="00A448B9">
        <w:t xml:space="preserve"> d’une capacité de production  de plus de 5 000 hectolitres par an ;</w:t>
      </w:r>
    </w:p>
    <w:p w:rsidR="007A4CC5" w:rsidRPr="00A448B9" w:rsidRDefault="007A4CC5" w:rsidP="007A4CC5">
      <w:pPr>
        <w:numPr>
          <w:ilvl w:val="1"/>
          <w:numId w:val="19"/>
        </w:numPr>
        <w:shd w:val="clear" w:color="auto" w:fill="FFFFFF"/>
        <w:spacing w:before="120" w:line="270" w:lineRule="atLeast"/>
        <w:rPr>
          <w:szCs w:val="24"/>
        </w:rPr>
      </w:pPr>
      <w:r w:rsidRPr="00A448B9">
        <w:t>I</w:t>
      </w:r>
      <w:r w:rsidRPr="00A448B9">
        <w:rPr>
          <w:szCs w:val="24"/>
        </w:rPr>
        <w:t>nstallations de fabrication de confiseries et de sirops d’un volume de plus de 50 000 mètres cubes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Abattoirs</w:t>
      </w:r>
      <w:r w:rsidRPr="00A448B9">
        <w:t xml:space="preserve"> d’une capacité de production de carcasses de plis de 50 tonnes par jour et installations pour l’élimination ou le recyclage de carcasses et de déchets animaux d’une capacité de traitement de plus de 10 tonnes par jour.</w:t>
      </w:r>
    </w:p>
    <w:p w:rsidR="007A4CC5" w:rsidRPr="00A448B9" w:rsidRDefault="007A4CC5" w:rsidP="007A4CC5">
      <w:pPr>
        <w:numPr>
          <w:ilvl w:val="0"/>
          <w:numId w:val="19"/>
        </w:numPr>
        <w:shd w:val="clear" w:color="auto" w:fill="FFFFFF"/>
        <w:spacing w:before="120" w:line="270" w:lineRule="atLeast"/>
        <w:rPr>
          <w:szCs w:val="24"/>
        </w:rPr>
      </w:pPr>
      <w:r w:rsidRPr="00A448B9">
        <w:rPr>
          <w:szCs w:val="24"/>
        </w:rPr>
        <w:t>Industrie du textile, du cuir, du bois et du papier :</w:t>
      </w:r>
    </w:p>
    <w:p w:rsidR="007A4CC5" w:rsidRPr="00A448B9" w:rsidRDefault="007A4CC5" w:rsidP="007A4CC5">
      <w:pPr>
        <w:numPr>
          <w:ilvl w:val="1"/>
          <w:numId w:val="19"/>
        </w:numPr>
        <w:shd w:val="clear" w:color="auto" w:fill="FFFFFF"/>
        <w:spacing w:before="120" w:line="270" w:lineRule="atLeast"/>
      </w:pPr>
      <w:r w:rsidRPr="00A448B9">
        <w:t>I</w:t>
      </w:r>
      <w:r w:rsidRPr="00A448B9">
        <w:rPr>
          <w:szCs w:val="24"/>
        </w:rPr>
        <w:t>nstallations de fabrication de</w:t>
      </w:r>
      <w:r w:rsidRPr="00A448B9">
        <w:t xml:space="preserve"> panneaux de fibres, de particules ou d’aggloméré d’une capacité de production de plus de 50 000 t par an ;</w:t>
      </w:r>
    </w:p>
    <w:p w:rsidR="007A4CC5" w:rsidRPr="00A448B9" w:rsidRDefault="007A4CC5" w:rsidP="007A4CC5">
      <w:pPr>
        <w:numPr>
          <w:ilvl w:val="1"/>
          <w:numId w:val="19"/>
        </w:numPr>
        <w:shd w:val="clear" w:color="auto" w:fill="FFFFFF"/>
        <w:spacing w:before="120" w:line="270" w:lineRule="atLeast"/>
        <w:rPr>
          <w:szCs w:val="24"/>
        </w:rPr>
      </w:pPr>
      <w:r w:rsidRPr="00A448B9">
        <w:t>I</w:t>
      </w:r>
      <w:r w:rsidRPr="00A448B9">
        <w:rPr>
          <w:szCs w:val="24"/>
        </w:rPr>
        <w:t>nstallations de production et de traitement de la cellulose et de fabrication de papier et de carton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Usines destinées au prétraitement (opérations de lavage, de blanchiment, de mercerisage) ou à la teinture de fibres textiles ou de laine.</w:t>
      </w:r>
    </w:p>
    <w:p w:rsidR="007A4CC5" w:rsidRPr="00A448B9" w:rsidRDefault="007A4CC5" w:rsidP="007A4CC5">
      <w:pPr>
        <w:numPr>
          <w:ilvl w:val="0"/>
          <w:numId w:val="19"/>
        </w:numPr>
        <w:shd w:val="clear" w:color="auto" w:fill="FFFFFF"/>
        <w:spacing w:before="120" w:line="270" w:lineRule="atLeast"/>
        <w:rPr>
          <w:szCs w:val="24"/>
        </w:rPr>
      </w:pPr>
      <w:r w:rsidRPr="00A448B9">
        <w:rPr>
          <w:szCs w:val="24"/>
        </w:rPr>
        <w:t>Industrie du caoutchouc et des matières plastiques :</w:t>
      </w:r>
    </w:p>
    <w:p w:rsidR="007A4CC5" w:rsidRPr="00A448B9" w:rsidRDefault="007A4CC5" w:rsidP="007A4CC5">
      <w:pPr>
        <w:numPr>
          <w:ilvl w:val="1"/>
          <w:numId w:val="19"/>
        </w:numPr>
        <w:shd w:val="clear" w:color="auto" w:fill="FFFFFF"/>
        <w:spacing w:before="120" w:line="270" w:lineRule="atLeast"/>
        <w:rPr>
          <w:szCs w:val="24"/>
        </w:rPr>
      </w:pPr>
      <w:r w:rsidRPr="00A448B9">
        <w:lastRenderedPageBreak/>
        <w:t>I</w:t>
      </w:r>
      <w:r w:rsidRPr="00A448B9">
        <w:rPr>
          <w:szCs w:val="24"/>
        </w:rPr>
        <w:t>nstallations de fabrication et de traitement de produits à base d’élastomères ;</w:t>
      </w:r>
    </w:p>
    <w:p w:rsidR="007A4CC5" w:rsidRPr="00A448B9" w:rsidRDefault="007A4CC5" w:rsidP="007A4CC5">
      <w:pPr>
        <w:numPr>
          <w:ilvl w:val="1"/>
          <w:numId w:val="19"/>
        </w:numPr>
        <w:shd w:val="clear" w:color="auto" w:fill="FFFFFF"/>
        <w:spacing w:before="120" w:line="270" w:lineRule="atLeast"/>
        <w:rPr>
          <w:szCs w:val="24"/>
        </w:rPr>
      </w:pPr>
      <w:r w:rsidRPr="00A448B9">
        <w:t>I</w:t>
      </w:r>
      <w:r w:rsidRPr="00A448B9">
        <w:rPr>
          <w:szCs w:val="24"/>
        </w:rPr>
        <w:t>nstallations de fabrication et de traitement de pneus.</w:t>
      </w:r>
    </w:p>
    <w:p w:rsidR="007A4CC5" w:rsidRPr="00A448B9" w:rsidRDefault="007A4CC5" w:rsidP="007A4CC5">
      <w:pPr>
        <w:numPr>
          <w:ilvl w:val="0"/>
          <w:numId w:val="19"/>
        </w:numPr>
        <w:shd w:val="clear" w:color="auto" w:fill="FFFFFF"/>
        <w:spacing w:before="120" w:line="270" w:lineRule="atLeast"/>
        <w:rPr>
          <w:szCs w:val="24"/>
        </w:rPr>
      </w:pPr>
      <w:r w:rsidRPr="00A448B9">
        <w:rPr>
          <w:szCs w:val="24"/>
        </w:rPr>
        <w:t>Infrastructures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Projets de développement de zones industrielles ou productives, d’aménagement ou d’expansion de zones urbaines, de réaménagement ou de développement, à l’intérieur d’une zone urbaine, de surfaces de plus de 3 hectares, ainsi que de construction de centres commerciaux au sens du décret législatif n° 114 du 31 mars 1998 (Refonte des dispositions en matière de commerce, aux termes du quatrième alinéa de l’art. 4 de la loi n° 59 du 15 mars 1997)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Parcs de stationnement publics avec plus de 150 emplacements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Pistes de ski de descente d’une longueur inclinée de plus de 500 mètres ou occupant une surface de plus de 1,5 hectare, pistes de ski de fond d’une longueur de plus d’1 kilomètre, remontées mécaniques (téléphériques ou funiculaires) – à l’exception des téléskis et des remontées à pinces fixes monocâbles d’une longueur inclinée de 500 mètres au plus et d’un débit horaire maximal de 1 800 personnes – ainsi que pistes cyclables d’une longueur de plus d’1 kilomètre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Dérivation de plus de 200 litres par seconde d’eaux superficielles et aménagement des ouvrages y afférents, ainsi que dérivation de plus de 50  litres par seconde d’eaux souterraines et forages y afférents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Pôles, plate-formes et terminaux intermodaux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Barrages et bassins d’accumulation </w:t>
      </w:r>
      <w:r w:rsidRPr="00A448B9">
        <w:t>visés aux lois sectorielles, destinés à retenir, à réguler les eaux ou à les stocker de façon permanente, d’une capacité comprise entre 10 000 et 100 000 mètres cubes ;</w:t>
      </w:r>
    </w:p>
    <w:p w:rsidR="007A4CC5" w:rsidRPr="00A448B9" w:rsidRDefault="007A4CC5" w:rsidP="007A4CC5">
      <w:pPr>
        <w:numPr>
          <w:ilvl w:val="1"/>
          <w:numId w:val="19"/>
        </w:numPr>
        <w:shd w:val="clear" w:color="auto" w:fill="FFFFFF"/>
        <w:spacing w:before="120" w:line="270" w:lineRule="atLeast"/>
        <w:rPr>
          <w:szCs w:val="24"/>
        </w:rPr>
      </w:pPr>
      <w:r w:rsidRPr="00A448B9">
        <w:t>Routes non urbaines secondaires et routes urbaines d’une longueur de plus de 1 500 mètres non comprises dans l’annexe A, autres routes et chemins d’exploitation susceptibles de subir des travaux d’élargissement de la chaussée d’une longueur de plus d’1 kilomètre,  nouvelles routes et nouveaux chemins d’exploitation d’une longueur comprise entre 500 et 2 000 mètres, ainsi que pistes de chantier provisoires d’une longueur de plus de 500 mètres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Voies ferrées régionales ou locales ;</w:t>
      </w:r>
    </w:p>
    <w:p w:rsidR="007A4CC5" w:rsidRPr="00A448B9" w:rsidRDefault="007A4CC5" w:rsidP="007A4CC5">
      <w:pPr>
        <w:numPr>
          <w:ilvl w:val="1"/>
          <w:numId w:val="19"/>
        </w:numPr>
        <w:shd w:val="clear" w:color="auto" w:fill="FFFFFF"/>
        <w:spacing w:before="120" w:line="270" w:lineRule="atLeast"/>
        <w:rPr>
          <w:szCs w:val="24"/>
        </w:rPr>
      </w:pPr>
      <w:r w:rsidRPr="00A448B9">
        <w:t>Lignes de tramway et de métro ou lignes analogues de type particulier servant exclusivement ou principalement au transport des personnes ;</w:t>
      </w:r>
    </w:p>
    <w:p w:rsidR="007A4CC5" w:rsidRPr="00A448B9" w:rsidRDefault="007A4CC5" w:rsidP="007A4CC5">
      <w:pPr>
        <w:numPr>
          <w:ilvl w:val="1"/>
          <w:numId w:val="19"/>
        </w:numPr>
        <w:shd w:val="clear" w:color="auto" w:fill="FFFFFF"/>
        <w:spacing w:before="120" w:line="270" w:lineRule="atLeast"/>
        <w:rPr>
          <w:szCs w:val="24"/>
        </w:rPr>
      </w:pPr>
      <w:r w:rsidRPr="00A448B9">
        <w:t>Réseaux de distribution d’eau potable d’une longueur de plus de 20 kilomètres ;</w:t>
      </w:r>
    </w:p>
    <w:p w:rsidR="007A4CC5" w:rsidRPr="00A448B9" w:rsidRDefault="007A4CC5" w:rsidP="007A4CC5">
      <w:pPr>
        <w:numPr>
          <w:ilvl w:val="1"/>
          <w:numId w:val="19"/>
        </w:numPr>
        <w:shd w:val="clear" w:color="auto" w:fill="FFFFFF"/>
        <w:spacing w:before="120" w:line="270" w:lineRule="atLeast"/>
        <w:rPr>
          <w:szCs w:val="24"/>
        </w:rPr>
      </w:pPr>
      <w:r w:rsidRPr="00A448B9">
        <w:rPr>
          <w:szCs w:val="24"/>
        </w:rPr>
        <w:t>Bâtiments à usages divers d’un volume total de plus de 10 000 mètres cubes ;</w:t>
      </w:r>
    </w:p>
    <w:p w:rsidR="007A4CC5" w:rsidRPr="00A448B9" w:rsidRDefault="007A4CC5" w:rsidP="007A4CC5">
      <w:pPr>
        <w:numPr>
          <w:ilvl w:val="1"/>
          <w:numId w:val="19"/>
        </w:numPr>
        <w:shd w:val="clear" w:color="auto" w:fill="FFFFFF"/>
        <w:spacing w:before="120" w:line="270" w:lineRule="atLeast"/>
      </w:pPr>
      <w:r w:rsidRPr="00A448B9">
        <w:t>Nouveaux ouvrages de régularisation des rivières et des torrents et nouvelles canalisations destinées à influer sur le débit des cours d’eau ;</w:t>
      </w:r>
    </w:p>
    <w:p w:rsidR="007A4CC5" w:rsidRPr="00A448B9" w:rsidRDefault="007A4CC5" w:rsidP="007A4CC5">
      <w:pPr>
        <w:numPr>
          <w:ilvl w:val="1"/>
          <w:numId w:val="19"/>
        </w:numPr>
        <w:shd w:val="clear" w:color="auto" w:fill="FFFFFF"/>
        <w:spacing w:before="120" w:line="270" w:lineRule="atLeast"/>
      </w:pPr>
      <w:r w:rsidRPr="00A448B9">
        <w:t>Aéroports (réalisation de volumes de plus de 10 000 mètres cubes ou revêtement de sols d’une surface de plus de 20 000 mètres carrés), altiports, héliports, terrains d’aviation et hélisurfaces non provisoires ;</w:t>
      </w:r>
    </w:p>
    <w:p w:rsidR="007A4CC5" w:rsidRPr="00A448B9" w:rsidRDefault="007A4CC5" w:rsidP="007A4CC5">
      <w:pPr>
        <w:numPr>
          <w:ilvl w:val="1"/>
          <w:numId w:val="19"/>
        </w:numPr>
        <w:shd w:val="clear" w:color="auto" w:fill="FFFFFF"/>
        <w:spacing w:before="120" w:line="270" w:lineRule="atLeast"/>
      </w:pPr>
      <w:r w:rsidRPr="00A448B9">
        <w:t>Installations d’élimination et – limitativement aux opérations relevant des procédures d’autorisation ordinaires visées à l’art. 208 du décret législatif n° 152 du 3 avril 2006 – de récupération des déchets dangereux visées aux points D13, D14 et D15 de l’annexe B et au point R13 de l’annexe C ;</w:t>
      </w:r>
    </w:p>
    <w:p w:rsidR="007A4CC5" w:rsidRPr="00A448B9" w:rsidRDefault="007A4CC5" w:rsidP="007A4CC5">
      <w:pPr>
        <w:numPr>
          <w:ilvl w:val="1"/>
          <w:numId w:val="19"/>
        </w:numPr>
        <w:shd w:val="clear" w:color="auto" w:fill="FFFFFF"/>
        <w:spacing w:before="120" w:line="270" w:lineRule="atLeast"/>
      </w:pPr>
      <w:r w:rsidRPr="00A448B9">
        <w:lastRenderedPageBreak/>
        <w:t>Installations d’élimination et – limitativement aux opérations relevant des procédures d’autorisation ordinaires visées à l’art. 208 du décret législatif n° 152/2006 – de récupération des déchets non dangereux visées aux points D13, D14 et D15 de l’annexe B et au point R13 de l’annexe C et décharges de déchets spéciaux inertes d’une capacité totale comprise entre 30 000 et 50 000 mètres cubes et de de déchets urbains d’une capacité globale de moins de 50 000 mètres cubes ;</w:t>
      </w:r>
    </w:p>
    <w:p w:rsidR="007A4CC5" w:rsidRPr="00A448B9" w:rsidRDefault="007A4CC5" w:rsidP="007A4CC5">
      <w:pPr>
        <w:numPr>
          <w:ilvl w:val="1"/>
          <w:numId w:val="19"/>
        </w:numPr>
        <w:shd w:val="clear" w:color="auto" w:fill="FFFFFF"/>
        <w:spacing w:before="120" w:line="270" w:lineRule="atLeast"/>
      </w:pPr>
      <w:r w:rsidRPr="00A448B9">
        <w:t>Installations de traitement et – limitativement aux opérations qui ne relèvent pas des procédures simplifiées visées à l’art. 216 du décret législatif n° 152/2006 – de récupération des déchets non dangereux par les opérations énumérées aux annexes B et C de la quatrième partie dudit décret législatif, d’une capacité totale de plus de 10 tonnes par jour ;</w:t>
      </w:r>
    </w:p>
    <w:p w:rsidR="007A4CC5" w:rsidRPr="00A448B9" w:rsidRDefault="007A4CC5" w:rsidP="007A4CC5">
      <w:pPr>
        <w:numPr>
          <w:ilvl w:val="1"/>
          <w:numId w:val="19"/>
        </w:numPr>
        <w:shd w:val="clear" w:color="auto" w:fill="FFFFFF"/>
        <w:spacing w:before="120" w:line="270" w:lineRule="atLeast"/>
      </w:pPr>
      <w:r w:rsidRPr="00A448B9">
        <w:t>Installations d’épuration des eaux usées d’une capacité de traitement de plus de 10 000 équivalents habitants ;</w:t>
      </w:r>
    </w:p>
    <w:p w:rsidR="007A4CC5" w:rsidRPr="00A448B9" w:rsidRDefault="007A4CC5" w:rsidP="007A4CC5">
      <w:pPr>
        <w:numPr>
          <w:ilvl w:val="1"/>
          <w:numId w:val="19"/>
        </w:numPr>
        <w:shd w:val="clear" w:color="auto" w:fill="FFFFFF"/>
        <w:spacing w:before="120" w:line="270" w:lineRule="atLeast"/>
      </w:pPr>
      <w:r w:rsidRPr="00A448B9">
        <w:t xml:space="preserve">Lignes aériennes de transport d’électricité ne faisant pas partie du réseau national de distribution électrique, d’une tension nominale de plus de100 kV et d’une longueur comprise entre 3 et 10 kilomètres. </w:t>
      </w:r>
    </w:p>
    <w:p w:rsidR="007A4CC5" w:rsidRPr="00A448B9" w:rsidRDefault="007A4CC5" w:rsidP="007A4CC5">
      <w:pPr>
        <w:numPr>
          <w:ilvl w:val="0"/>
          <w:numId w:val="19"/>
        </w:numPr>
        <w:shd w:val="clear" w:color="auto" w:fill="FFFFFF"/>
        <w:spacing w:before="120"/>
      </w:pPr>
      <w:r w:rsidRPr="00A448B9">
        <w:rPr>
          <w:szCs w:val="24"/>
        </w:rPr>
        <w:t>Autres projets :</w:t>
      </w:r>
    </w:p>
    <w:p w:rsidR="007A4CC5" w:rsidRPr="00A448B9" w:rsidRDefault="007A4CC5" w:rsidP="007A4CC5">
      <w:pPr>
        <w:numPr>
          <w:ilvl w:val="1"/>
          <w:numId w:val="19"/>
        </w:numPr>
        <w:shd w:val="clear" w:color="auto" w:fill="FFFFFF"/>
        <w:spacing w:before="120"/>
      </w:pPr>
      <w:r w:rsidRPr="00A448B9">
        <w:t>Villages de vacances et terrains de camping d’une surface de plus de 25 000 mètres carrés et  terrains de caravaning d’une capacité de plus de 100 places ;</w:t>
      </w:r>
    </w:p>
    <w:p w:rsidR="007A4CC5" w:rsidRPr="00A448B9" w:rsidRDefault="007A4CC5" w:rsidP="007A4CC5">
      <w:pPr>
        <w:numPr>
          <w:ilvl w:val="1"/>
          <w:numId w:val="19"/>
        </w:numPr>
        <w:shd w:val="clear" w:color="auto" w:fill="FFFFFF"/>
        <w:spacing w:before="120"/>
      </w:pPr>
      <w:r w:rsidRPr="00A448B9">
        <w:t>Hôtels et résidences touristiques et hôtelières d’une capacité de plus de 30 lits ou d’un volume bâti de plus de 10 000 mètres cubes ;</w:t>
      </w:r>
    </w:p>
    <w:p w:rsidR="007A4CC5" w:rsidRPr="00A448B9" w:rsidRDefault="007A4CC5" w:rsidP="007A4CC5">
      <w:pPr>
        <w:numPr>
          <w:ilvl w:val="1"/>
          <w:numId w:val="19"/>
        </w:numPr>
        <w:shd w:val="clear" w:color="auto" w:fill="FFFFFF"/>
        <w:spacing w:before="120"/>
      </w:pPr>
      <w:r w:rsidRPr="00A448B9">
        <w:t>P</w:t>
      </w:r>
      <w:r w:rsidRPr="00A448B9">
        <w:rPr>
          <w:szCs w:val="24"/>
        </w:rPr>
        <w:t>istes permanentes de courses et d’essais pour automobiles, motos et autres véhicules à moteur ;</w:t>
      </w:r>
    </w:p>
    <w:p w:rsidR="007A4CC5" w:rsidRPr="00A448B9" w:rsidRDefault="007A4CC5" w:rsidP="007A4CC5">
      <w:pPr>
        <w:numPr>
          <w:ilvl w:val="1"/>
          <w:numId w:val="19"/>
        </w:numPr>
        <w:shd w:val="clear" w:color="auto" w:fill="FFFFFF"/>
        <w:spacing w:before="120"/>
      </w:pPr>
      <w:r w:rsidRPr="00A448B9">
        <w:rPr>
          <w:szCs w:val="24"/>
        </w:rPr>
        <w:t>Installations de collecte, de stockage et d’élimination de ferrailles, de carcasses de véhicules et autres déchets ferreux similaires, d’une surface de plus d’1 hectare ;</w:t>
      </w:r>
    </w:p>
    <w:p w:rsidR="007A4CC5" w:rsidRPr="00A448B9" w:rsidRDefault="007A4CC5" w:rsidP="007A4CC5">
      <w:pPr>
        <w:numPr>
          <w:ilvl w:val="1"/>
          <w:numId w:val="19"/>
        </w:numPr>
        <w:shd w:val="clear" w:color="auto" w:fill="FFFFFF"/>
        <w:spacing w:before="120"/>
      </w:pPr>
      <w:r w:rsidRPr="00A448B9">
        <w:rPr>
          <w:szCs w:val="24"/>
        </w:rPr>
        <w:t>Bancs d’essai pour moteurs, turbines ou réacteurs occupant une surface de plus de 500 mètres carrés ;</w:t>
      </w:r>
    </w:p>
    <w:p w:rsidR="007A4CC5" w:rsidRPr="00A448B9" w:rsidRDefault="007A4CC5" w:rsidP="007A4CC5">
      <w:pPr>
        <w:numPr>
          <w:ilvl w:val="1"/>
          <w:numId w:val="19"/>
        </w:numPr>
        <w:shd w:val="clear" w:color="auto" w:fill="FFFFFF"/>
        <w:spacing w:before="120"/>
      </w:pPr>
      <w:r w:rsidRPr="00A448B9">
        <w:rPr>
          <w:szCs w:val="24"/>
        </w:rPr>
        <w:t>Installations de fabrication de fibres minérales artificielles ;</w:t>
      </w:r>
    </w:p>
    <w:p w:rsidR="007A4CC5" w:rsidRPr="00A448B9" w:rsidRDefault="007A4CC5" w:rsidP="007A4CC5">
      <w:pPr>
        <w:numPr>
          <w:ilvl w:val="1"/>
          <w:numId w:val="19"/>
        </w:numPr>
        <w:shd w:val="clear" w:color="auto" w:fill="FFFFFF"/>
        <w:spacing w:before="120"/>
      </w:pPr>
      <w:r w:rsidRPr="00A448B9">
        <w:rPr>
          <w:szCs w:val="24"/>
        </w:rPr>
        <w:t>Installations de fabrication, de conditionnement, de chargement et d’encartouchage des explosifs ;</w:t>
      </w:r>
    </w:p>
    <w:p w:rsidR="007A4CC5" w:rsidRPr="00A448B9" w:rsidRDefault="007A4CC5" w:rsidP="007A4CC5">
      <w:pPr>
        <w:numPr>
          <w:ilvl w:val="1"/>
          <w:numId w:val="19"/>
        </w:numPr>
        <w:shd w:val="clear" w:color="auto" w:fill="FFFFFF"/>
        <w:spacing w:before="120"/>
      </w:pPr>
      <w:r w:rsidRPr="00A448B9">
        <w:rPr>
          <w:szCs w:val="24"/>
        </w:rPr>
        <w:t>I</w:t>
      </w:r>
      <w:r w:rsidRPr="00A448B9">
        <w:t>nstallations de stockage de pétrole et de produits pétroliers, pétrochimiques et chimiques dangereux au sens du décret législatif n° 65 du 14 mars 2003</w:t>
      </w:r>
      <w:r w:rsidRPr="00A448B9">
        <w:rPr>
          <w:szCs w:val="24"/>
        </w:rPr>
        <w:t>, d’une capacité totale de plus de 1 000 mètres cubes ;</w:t>
      </w:r>
    </w:p>
    <w:p w:rsidR="007A4CC5" w:rsidRPr="00A448B9" w:rsidRDefault="007A4CC5" w:rsidP="007A4CC5">
      <w:pPr>
        <w:numPr>
          <w:ilvl w:val="1"/>
          <w:numId w:val="19"/>
        </w:numPr>
        <w:shd w:val="clear" w:color="auto" w:fill="FFFFFF"/>
        <w:spacing w:before="120"/>
      </w:pPr>
      <w:r w:rsidRPr="00A448B9">
        <w:t>Carrières et tourbières ;</w:t>
      </w:r>
    </w:p>
    <w:p w:rsidR="007A4CC5" w:rsidRPr="00A448B9" w:rsidRDefault="007A4CC5" w:rsidP="007A4CC5">
      <w:pPr>
        <w:numPr>
          <w:ilvl w:val="1"/>
          <w:numId w:val="19"/>
        </w:numPr>
        <w:shd w:val="clear" w:color="auto" w:fill="FFFFFF"/>
        <w:spacing w:before="120"/>
      </w:pPr>
      <w:r w:rsidRPr="00A448B9">
        <w:t>Dépôts de boues, y compris les boues de traitement des eaux usées urbaines, d’une capacité de plus de 10 000 mètres cubes ;</w:t>
      </w:r>
    </w:p>
    <w:p w:rsidR="007A4CC5" w:rsidRPr="00A448B9" w:rsidRDefault="007A4CC5" w:rsidP="007A4CC5">
      <w:pPr>
        <w:numPr>
          <w:ilvl w:val="1"/>
          <w:numId w:val="19"/>
        </w:numPr>
        <w:shd w:val="clear" w:color="auto" w:fill="FFFFFF"/>
        <w:spacing w:before="120"/>
      </w:pPr>
      <w:r w:rsidRPr="00A448B9">
        <w:t>Installations de récupération ou de destruction des matières explosives ;</w:t>
      </w:r>
    </w:p>
    <w:p w:rsidR="007A4CC5" w:rsidRPr="00A448B9" w:rsidRDefault="007A4CC5" w:rsidP="007A4CC5">
      <w:pPr>
        <w:numPr>
          <w:ilvl w:val="1"/>
          <w:numId w:val="19"/>
        </w:numPr>
        <w:shd w:val="clear" w:color="auto" w:fill="FFFFFF"/>
        <w:spacing w:before="120"/>
      </w:pPr>
      <w:r w:rsidRPr="00A448B9">
        <w:t>Ateliers d’équarrissage d’une capacité de production de plus de 30 tonnes par jour ;</w:t>
      </w:r>
    </w:p>
    <w:p w:rsidR="007A4CC5" w:rsidRPr="00A448B9" w:rsidRDefault="007A4CC5" w:rsidP="007A4CC5">
      <w:pPr>
        <w:numPr>
          <w:ilvl w:val="1"/>
          <w:numId w:val="19"/>
        </w:numPr>
        <w:shd w:val="clear" w:color="auto" w:fill="FFFFFF"/>
        <w:spacing w:before="120"/>
      </w:pPr>
      <w:r w:rsidRPr="00A448B9">
        <w:t>Parcs thématiques d’une surface de plus de 5 hectares ;</w:t>
      </w:r>
    </w:p>
    <w:p w:rsidR="007A4CC5" w:rsidRPr="00A448B9" w:rsidRDefault="007A4CC5" w:rsidP="007A4CC5">
      <w:pPr>
        <w:numPr>
          <w:ilvl w:val="1"/>
          <w:numId w:val="19"/>
        </w:numPr>
        <w:shd w:val="clear" w:color="auto" w:fill="FFFFFF"/>
        <w:spacing w:before="120"/>
      </w:pPr>
      <w:r w:rsidRPr="00A448B9">
        <w:t>Refuges de montagne d’une capacité d’accueil de plus de 30 lits ;</w:t>
      </w:r>
    </w:p>
    <w:p w:rsidR="007A4CC5" w:rsidRPr="00A448B9" w:rsidRDefault="007A4CC5" w:rsidP="007A4CC5">
      <w:pPr>
        <w:numPr>
          <w:ilvl w:val="1"/>
          <w:numId w:val="19"/>
        </w:numPr>
        <w:shd w:val="clear" w:color="auto" w:fill="FFFFFF"/>
        <w:spacing w:before="120"/>
      </w:pPr>
      <w:r w:rsidRPr="00A448B9">
        <w:t>Imprimeries d’un volume de plus de 5 000 mètres cubes ;</w:t>
      </w:r>
    </w:p>
    <w:p w:rsidR="007A4CC5" w:rsidRPr="00A448B9" w:rsidRDefault="007A4CC5" w:rsidP="007A4CC5">
      <w:pPr>
        <w:numPr>
          <w:ilvl w:val="1"/>
          <w:numId w:val="19"/>
        </w:numPr>
        <w:shd w:val="clear" w:color="auto" w:fill="FFFFFF"/>
        <w:spacing w:before="120"/>
      </w:pPr>
      <w:r w:rsidRPr="00A448B9">
        <w:t>Ateliers de vernissage d’un volume de plus de 5 000 mètres cubes ;</w:t>
      </w:r>
    </w:p>
    <w:p w:rsidR="007A4CC5" w:rsidRPr="00A448B9" w:rsidRDefault="007A4CC5" w:rsidP="007A4CC5">
      <w:pPr>
        <w:numPr>
          <w:ilvl w:val="1"/>
          <w:numId w:val="19"/>
        </w:numPr>
        <w:shd w:val="clear" w:color="auto" w:fill="FFFFFF"/>
        <w:spacing w:before="120"/>
      </w:pPr>
      <w:r w:rsidRPr="00A448B9">
        <w:lastRenderedPageBreak/>
        <w:t>Blanchisseries industrielles d’un volume de plus de à 5 000 mètres cubes ;</w:t>
      </w:r>
    </w:p>
    <w:p w:rsidR="007A4CC5" w:rsidRPr="00A448B9" w:rsidRDefault="007A4CC5" w:rsidP="007A4CC5">
      <w:pPr>
        <w:numPr>
          <w:ilvl w:val="1"/>
          <w:numId w:val="19"/>
        </w:numPr>
        <w:shd w:val="clear" w:color="auto" w:fill="FFFFFF"/>
        <w:spacing w:before="120"/>
      </w:pPr>
      <w:r w:rsidRPr="00A448B9">
        <w:t>Installations de fabrication et de travail de matériaux de construction d’un volume de plus de 5 000 mètres cubes ;</w:t>
      </w:r>
    </w:p>
    <w:p w:rsidR="007A4CC5" w:rsidRPr="00A448B9" w:rsidRDefault="007A4CC5" w:rsidP="007A4CC5">
      <w:pPr>
        <w:numPr>
          <w:ilvl w:val="1"/>
          <w:numId w:val="19"/>
        </w:numPr>
        <w:shd w:val="clear" w:color="auto" w:fill="FFFFFF"/>
        <w:spacing w:before="120"/>
      </w:pPr>
      <w:r w:rsidRPr="00A448B9">
        <w:t>Installations de développement et d’impression de produits cinématographiques et photographiques d’un volume de plus de 5 000 mètres cubes</w:t>
      </w:r>
      <w:r w:rsidRPr="00A448B9">
        <w:rPr>
          <w:vertAlign w:val="superscript"/>
        </w:rPr>
        <w:t> </w:t>
      </w:r>
      <w:r w:rsidRPr="00A448B9">
        <w:t>;</w:t>
      </w:r>
    </w:p>
    <w:p w:rsidR="007A4CC5" w:rsidRPr="00A448B9" w:rsidRDefault="007A4CC5" w:rsidP="007A4CC5">
      <w:pPr>
        <w:numPr>
          <w:ilvl w:val="1"/>
          <w:numId w:val="19"/>
        </w:numPr>
        <w:shd w:val="clear" w:color="auto" w:fill="FFFFFF"/>
        <w:spacing w:before="120"/>
      </w:pPr>
      <w:r w:rsidRPr="00A448B9">
        <w:t>Installations de fabrication de papier et de carton ;</w:t>
      </w:r>
    </w:p>
    <w:p w:rsidR="007A4CC5" w:rsidRPr="00A448B9" w:rsidRDefault="007A4CC5" w:rsidP="007A4CC5">
      <w:pPr>
        <w:numPr>
          <w:ilvl w:val="1"/>
          <w:numId w:val="19"/>
        </w:numPr>
        <w:shd w:val="clear" w:color="auto" w:fill="FFFFFF"/>
        <w:spacing w:before="120"/>
      </w:pPr>
      <w:r w:rsidRPr="00A448B9">
        <w:t>Projets visés à l’annexe A qui servent exclusivement ou essentiellement à la mise au point ou à l’essai de nouvelles méthodes ou de nouveaux produits, pendant une période qui ne dépasse pas deux ans ;</w:t>
      </w:r>
    </w:p>
    <w:p w:rsidR="007A4CC5" w:rsidRPr="00A448B9" w:rsidRDefault="007A4CC5" w:rsidP="007A4CC5">
      <w:pPr>
        <w:numPr>
          <w:ilvl w:val="1"/>
          <w:numId w:val="19"/>
        </w:numPr>
        <w:shd w:val="clear" w:color="auto" w:fill="FFFFFF"/>
        <w:spacing w:before="120"/>
      </w:pPr>
      <w:r w:rsidRPr="00A448B9">
        <w:t>Toute modification ou extension des projets énumérés à la présente annexe, susceptibles de produire de lourdes retombées négatives sur l’environnement, déjà été autorisés, réalisés ou en cours de réalisation.</w:t>
      </w:r>
    </w:p>
    <w:p w:rsidR="007A4CC5" w:rsidRDefault="007A4CC5" w:rsidP="007A4CC5">
      <w:pPr>
        <w:shd w:val="clear" w:color="auto" w:fill="FFFFFF"/>
        <w:spacing w:before="120"/>
        <w:ind w:left="907"/>
      </w:pPr>
    </w:p>
    <w:p w:rsidR="002C6959" w:rsidRDefault="002C6959" w:rsidP="007A4CC5">
      <w:pPr>
        <w:shd w:val="clear" w:color="auto" w:fill="FFFFFF"/>
        <w:spacing w:before="120"/>
        <w:ind w:left="907"/>
      </w:pPr>
    </w:p>
    <w:p w:rsidR="002C6959" w:rsidRDefault="002C6959" w:rsidP="007A4CC5">
      <w:pPr>
        <w:shd w:val="clear" w:color="auto" w:fill="FFFFFF"/>
        <w:spacing w:before="120"/>
        <w:ind w:left="907"/>
      </w:pPr>
      <w:r>
        <w:t>____________________________</w:t>
      </w:r>
    </w:p>
    <w:p w:rsidR="002C6959" w:rsidRPr="002C6959" w:rsidRDefault="002C6959" w:rsidP="002C6959">
      <w:pPr>
        <w:shd w:val="clear" w:color="auto" w:fill="FFFFFF"/>
        <w:spacing w:before="120"/>
        <w:ind w:left="907"/>
      </w:pPr>
      <w:r w:rsidRPr="002C6959">
        <w:t xml:space="preserve">(1) Annexe remplacé par l'annexe </w:t>
      </w:r>
      <w:r>
        <w:t>B</w:t>
      </w:r>
      <w:r w:rsidRPr="002C6959">
        <w:t xml:space="preserve"> du titre IV de la loi régionale n° 13 du 25 mai 2015 et, en suite, par l'alinéa 1er de l'article 16 de la loi régionale n. 3 du 20 mars 2018.</w:t>
      </w:r>
    </w:p>
    <w:p w:rsidR="002C6959" w:rsidRPr="002C6959" w:rsidRDefault="002C6959" w:rsidP="002C6959">
      <w:pPr>
        <w:ind w:left="850" w:hanging="425"/>
        <w:rPr>
          <w:lang w:eastAsia="it-IT"/>
        </w:rPr>
      </w:pPr>
    </w:p>
    <w:p w:rsidR="002C6959" w:rsidRPr="002C6959" w:rsidRDefault="002C6959" w:rsidP="002C6959">
      <w:pPr>
        <w:ind w:left="850" w:hanging="425"/>
        <w:rPr>
          <w:lang w:eastAsia="it-IT"/>
        </w:rPr>
      </w:pPr>
    </w:p>
    <w:p w:rsidR="002C6959" w:rsidRPr="002C6959" w:rsidRDefault="002C6959" w:rsidP="007A4CC5">
      <w:pPr>
        <w:shd w:val="clear" w:color="auto" w:fill="FFFFFF"/>
        <w:spacing w:before="120"/>
        <w:ind w:left="907"/>
        <w:rPr>
          <w:lang w:val="it-IT"/>
        </w:rPr>
      </w:pPr>
      <w:bookmarkStart w:id="0" w:name="_GoBack"/>
      <w:bookmarkEnd w:id="0"/>
    </w:p>
    <w:sectPr w:rsidR="002C6959" w:rsidRPr="002C6959">
      <w:footerReference w:type="even" r:id="rId8"/>
      <w:footerReference w:type="default" r:id="rId9"/>
      <w:type w:val="continuous"/>
      <w:pgSz w:w="11880" w:h="16820"/>
      <w:pgMar w:top="1134" w:right="1134" w:bottom="1134" w:left="1134"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84" w:rsidRDefault="00220C84">
      <w:r>
        <w:separator/>
      </w:r>
    </w:p>
  </w:endnote>
  <w:endnote w:type="continuationSeparator" w:id="0">
    <w:p w:rsidR="00220C84" w:rsidRDefault="0022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p>
  <w:p w:rsidR="001C30A4" w:rsidRDefault="001C30A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A4" w:rsidRDefault="001C30A4">
    <w:pPr>
      <w:pStyle w:val="Pidipagina"/>
      <w:jc w:val="right"/>
    </w:pPr>
    <w:r>
      <w:fldChar w:fldCharType="begin"/>
    </w:r>
    <w:r>
      <w:instrText>PAGE   \* MERGEFORMAT</w:instrText>
    </w:r>
    <w:r>
      <w:fldChar w:fldCharType="separate"/>
    </w:r>
    <w:r w:rsidR="002C6959" w:rsidRPr="002C6959">
      <w:rPr>
        <w:noProof/>
        <w:lang w:val="it-IT"/>
      </w:rPr>
      <w:t>5</w:t>
    </w:r>
    <w:r>
      <w:fldChar w:fldCharType="end"/>
    </w:r>
  </w:p>
  <w:p w:rsidR="001C30A4" w:rsidRDefault="001C30A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84" w:rsidRDefault="00220C84">
      <w:r>
        <w:separator/>
      </w:r>
    </w:p>
  </w:footnote>
  <w:footnote w:type="continuationSeparator" w:id="0">
    <w:p w:rsidR="00220C84" w:rsidRDefault="0022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9B9"/>
    <w:multiLevelType w:val="hybridMultilevel"/>
    <w:tmpl w:val="7A44F0D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 w15:restartNumberingAfterBreak="0">
    <w:nsid w:val="0B590865"/>
    <w:multiLevelType w:val="hybridMultilevel"/>
    <w:tmpl w:val="4FDACAF8"/>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 w15:restartNumberingAfterBreak="0">
    <w:nsid w:val="0F2A61CC"/>
    <w:multiLevelType w:val="multilevel"/>
    <w:tmpl w:val="0E74D2F8"/>
    <w:lvl w:ilvl="0">
      <w:start w:val="3"/>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F633D"/>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FC0A26"/>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68362D"/>
    <w:multiLevelType w:val="multilevel"/>
    <w:tmpl w:val="1CF4141A"/>
    <w:lvl w:ilvl="0">
      <w:start w:val="2"/>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B66DD9"/>
    <w:multiLevelType w:val="multilevel"/>
    <w:tmpl w:val="27124666"/>
    <w:lvl w:ilvl="0">
      <w:start w:val="5"/>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181004"/>
    <w:multiLevelType w:val="multilevel"/>
    <w:tmpl w:val="88EA05E4"/>
    <w:lvl w:ilvl="0">
      <w:start w:val="8"/>
      <w:numFmt w:val="decimal"/>
      <w:lvlText w:val="%1."/>
      <w:lvlJc w:val="left"/>
      <w:pPr>
        <w:tabs>
          <w:tab w:val="num" w:pos="0"/>
        </w:tabs>
        <w:ind w:left="397" w:hanging="397"/>
      </w:pPr>
      <w:rPr>
        <w:strike w:val="0"/>
        <w:dstrike w:val="0"/>
        <w:u w:val="none"/>
        <w:effect w:val="none"/>
      </w:r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72D44"/>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E66AF6"/>
    <w:multiLevelType w:val="hybridMultilevel"/>
    <w:tmpl w:val="8014FC9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10" w15:restartNumberingAfterBreak="0">
    <w:nsid w:val="2353514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1B5CBB"/>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EF0190"/>
    <w:multiLevelType w:val="multilevel"/>
    <w:tmpl w:val="171A90F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7523DF"/>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B5D4CBE"/>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DD4A7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E23E28"/>
    <w:multiLevelType w:val="multilevel"/>
    <w:tmpl w:val="DB782010"/>
    <w:lvl w:ilvl="0">
      <w:start w:val="7"/>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5A5026"/>
    <w:multiLevelType w:val="multilevel"/>
    <w:tmpl w:val="674640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41C73922"/>
    <w:multiLevelType w:val="multilevel"/>
    <w:tmpl w:val="8B4A1C3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AF3905"/>
    <w:multiLevelType w:val="multilevel"/>
    <w:tmpl w:val="0F10341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B3E5C6A"/>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1" w15:restartNumberingAfterBreak="0">
    <w:nsid w:val="4D920F41"/>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22" w15:restartNumberingAfterBreak="0">
    <w:nsid w:val="51AB50B4"/>
    <w:multiLevelType w:val="multilevel"/>
    <w:tmpl w:val="36AA7D26"/>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4438A1"/>
    <w:multiLevelType w:val="multilevel"/>
    <w:tmpl w:val="443C365A"/>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bullet"/>
      <w:lvlText w:val=""/>
      <w:lvlJc w:val="left"/>
      <w:pPr>
        <w:tabs>
          <w:tab w:val="num" w:pos="1134"/>
        </w:tabs>
        <w:ind w:left="1134" w:hanging="22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B615AC"/>
    <w:multiLevelType w:val="multilevel"/>
    <w:tmpl w:val="85CC7BD2"/>
    <w:lvl w:ilvl="0">
      <w:start w:val="4"/>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6413303"/>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4A172E"/>
    <w:multiLevelType w:val="multilevel"/>
    <w:tmpl w:val="A9C09F12"/>
    <w:lvl w:ilvl="0">
      <w:start w:val="1"/>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33CE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FE75D33"/>
    <w:multiLevelType w:val="multilevel"/>
    <w:tmpl w:val="0CA8DA0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49D18FC"/>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0" w15:restartNumberingAfterBreak="0">
    <w:nsid w:val="66E228F2"/>
    <w:multiLevelType w:val="hybridMultilevel"/>
    <w:tmpl w:val="EB2EF60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1" w15:restartNumberingAfterBreak="0">
    <w:nsid w:val="68B36E85"/>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395FC8"/>
    <w:multiLevelType w:val="multilevel"/>
    <w:tmpl w:val="7F14A2B0"/>
    <w:lvl w:ilvl="0">
      <w:start w:val="4"/>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6E5BB7"/>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B8231C2"/>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5" w15:restartNumberingAfterBreak="0">
    <w:nsid w:val="6F7C3E2F"/>
    <w:multiLevelType w:val="multilevel"/>
    <w:tmpl w:val="93328068"/>
    <w:lvl w:ilvl="0">
      <w:start w:val="1"/>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077"/>
        </w:tabs>
        <w:ind w:left="1080" w:hanging="28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FC650F9"/>
    <w:multiLevelType w:val="hybridMultilevel"/>
    <w:tmpl w:val="821A9B68"/>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7" w15:restartNumberingAfterBreak="0">
    <w:nsid w:val="72F0400B"/>
    <w:multiLevelType w:val="hybridMultilevel"/>
    <w:tmpl w:val="68807480"/>
    <w:lvl w:ilvl="0" w:tplc="04100011">
      <w:start w:val="1"/>
      <w:numFmt w:val="decimal"/>
      <w:lvlText w:val="%1)"/>
      <w:lvlJc w:val="left"/>
      <w:pPr>
        <w:ind w:left="1267" w:hanging="360"/>
      </w:p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38" w15:restartNumberingAfterBreak="0">
    <w:nsid w:val="73F84688"/>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4273EC0"/>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C366B0"/>
    <w:multiLevelType w:val="multilevel"/>
    <w:tmpl w:val="4B2C3EE2"/>
    <w:lvl w:ilvl="0">
      <w:start w:val="3"/>
      <w:numFmt w:val="decimal"/>
      <w:lvlText w:val="%1."/>
      <w:lvlJc w:val="left"/>
      <w:pPr>
        <w:tabs>
          <w:tab w:val="num" w:pos="454"/>
        </w:tabs>
        <w:ind w:left="454" w:hanging="454"/>
      </w:pPr>
    </w:lvl>
    <w:lvl w:ilvl="1">
      <w:start w:val="1"/>
      <w:numFmt w:val="lowerLetter"/>
      <w:lvlText w:val="%2)"/>
      <w:lvlJc w:val="left"/>
      <w:pPr>
        <w:tabs>
          <w:tab w:val="num" w:pos="907"/>
        </w:tabs>
        <w:ind w:left="907" w:hanging="453"/>
      </w:pPr>
      <w:rPr>
        <w:rFonts w:ascii="Times New Roman" w:hAnsi="Times New Roman" w:cs="Times New Roman" w:hint="default"/>
        <w:sz w:val="24"/>
      </w:rPr>
    </w:lvl>
    <w:lvl w:ilvl="2">
      <w:start w:val="1"/>
      <w:numFmt w:val="decimal"/>
      <w:lvlText w:val="%3)"/>
      <w:lvlJc w:val="left"/>
      <w:pPr>
        <w:tabs>
          <w:tab w:val="num" w:pos="1361"/>
        </w:tabs>
        <w:ind w:left="1361" w:hanging="45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B8F7594"/>
    <w:multiLevelType w:val="multilevel"/>
    <w:tmpl w:val="46F6C876"/>
    <w:lvl w:ilvl="0">
      <w:start w:val="6"/>
      <w:numFmt w:val="decimal"/>
      <w:lvlText w:val="%1."/>
      <w:lvlJc w:val="left"/>
      <w:pPr>
        <w:tabs>
          <w:tab w:val="num" w:pos="0"/>
        </w:tabs>
        <w:ind w:left="397" w:hanging="397"/>
      </w:pPr>
    </w:lvl>
    <w:lvl w:ilvl="1">
      <w:start w:val="1"/>
      <w:numFmt w:val="lowerLetter"/>
      <w:lvlText w:val="%2)"/>
      <w:lvlJc w:val="left"/>
      <w:pPr>
        <w:tabs>
          <w:tab w:val="num" w:pos="397"/>
        </w:tabs>
        <w:ind w:left="794" w:hanging="397"/>
      </w:pPr>
    </w:lvl>
    <w:lvl w:ilvl="2">
      <w:start w:val="1"/>
      <w:numFmt w:val="decimal"/>
      <w:lvlText w:val="%3)"/>
      <w:lvlJc w:val="right"/>
      <w:pPr>
        <w:tabs>
          <w:tab w:val="num" w:pos="794"/>
        </w:tabs>
        <w:ind w:left="1247"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C080113"/>
    <w:multiLevelType w:val="hybridMultilevel"/>
    <w:tmpl w:val="BD224E6A"/>
    <w:lvl w:ilvl="0" w:tplc="04100011">
      <w:start w:val="1"/>
      <w:numFmt w:val="decimal"/>
      <w:lvlText w:val="%1)"/>
      <w:lvlJc w:val="left"/>
      <w:pPr>
        <w:ind w:left="1270" w:hanging="360"/>
      </w:pPr>
    </w:lvl>
    <w:lvl w:ilvl="1" w:tplc="040C0019">
      <w:start w:val="1"/>
      <w:numFmt w:val="lowerLetter"/>
      <w:lvlText w:val="%2."/>
      <w:lvlJc w:val="left"/>
      <w:pPr>
        <w:ind w:left="1990" w:hanging="360"/>
      </w:pPr>
    </w:lvl>
    <w:lvl w:ilvl="2" w:tplc="040C001B">
      <w:start w:val="1"/>
      <w:numFmt w:val="lowerRoman"/>
      <w:lvlText w:val="%3."/>
      <w:lvlJc w:val="right"/>
      <w:pPr>
        <w:ind w:left="2710" w:hanging="180"/>
      </w:pPr>
    </w:lvl>
    <w:lvl w:ilvl="3" w:tplc="040C000F">
      <w:start w:val="1"/>
      <w:numFmt w:val="decimal"/>
      <w:lvlText w:val="%4."/>
      <w:lvlJc w:val="left"/>
      <w:pPr>
        <w:ind w:left="3430" w:hanging="360"/>
      </w:pPr>
    </w:lvl>
    <w:lvl w:ilvl="4" w:tplc="040C0019">
      <w:start w:val="1"/>
      <w:numFmt w:val="lowerLetter"/>
      <w:lvlText w:val="%5."/>
      <w:lvlJc w:val="left"/>
      <w:pPr>
        <w:ind w:left="4150" w:hanging="360"/>
      </w:pPr>
    </w:lvl>
    <w:lvl w:ilvl="5" w:tplc="040C001B">
      <w:start w:val="1"/>
      <w:numFmt w:val="lowerRoman"/>
      <w:lvlText w:val="%6."/>
      <w:lvlJc w:val="right"/>
      <w:pPr>
        <w:ind w:left="4870" w:hanging="180"/>
      </w:pPr>
    </w:lvl>
    <w:lvl w:ilvl="6" w:tplc="040C000F">
      <w:start w:val="1"/>
      <w:numFmt w:val="decimal"/>
      <w:lvlText w:val="%7."/>
      <w:lvlJc w:val="left"/>
      <w:pPr>
        <w:ind w:left="5590" w:hanging="360"/>
      </w:pPr>
    </w:lvl>
    <w:lvl w:ilvl="7" w:tplc="040C0019">
      <w:start w:val="1"/>
      <w:numFmt w:val="lowerLetter"/>
      <w:lvlText w:val="%8."/>
      <w:lvlJc w:val="left"/>
      <w:pPr>
        <w:ind w:left="6310" w:hanging="360"/>
      </w:pPr>
    </w:lvl>
    <w:lvl w:ilvl="8" w:tplc="040C001B">
      <w:start w:val="1"/>
      <w:numFmt w:val="lowerRoman"/>
      <w:lvlText w:val="%9."/>
      <w:lvlJc w:val="right"/>
      <w:pPr>
        <w:ind w:left="7030" w:hanging="180"/>
      </w:pPr>
    </w:lvl>
  </w:abstractNum>
  <w:abstractNum w:abstractNumId="43" w15:restartNumberingAfterBreak="0">
    <w:nsid w:val="7E8B7677"/>
    <w:multiLevelType w:val="hybridMultilevel"/>
    <w:tmpl w:val="AE824EBA"/>
    <w:lvl w:ilvl="0" w:tplc="8550B0B4">
      <w:start w:val="1"/>
      <w:numFmt w:val="decimal"/>
      <w:lvlText w:val="%1)"/>
      <w:lvlJc w:val="left"/>
      <w:pPr>
        <w:ind w:left="1267" w:hanging="360"/>
      </w:pPr>
      <w:rPr>
        <w:rFonts w:ascii="Times New Roman" w:hAnsi="Times New Roman" w:cs="Times New Roman" w:hint="default"/>
        <w:b w:val="0"/>
        <w:i w:val="0"/>
        <w:sz w:val="24"/>
      </w:rPr>
    </w:lvl>
    <w:lvl w:ilvl="1" w:tplc="040C0019">
      <w:start w:val="1"/>
      <w:numFmt w:val="lowerLetter"/>
      <w:lvlText w:val="%2."/>
      <w:lvlJc w:val="left"/>
      <w:pPr>
        <w:ind w:left="1987" w:hanging="360"/>
      </w:pPr>
    </w:lvl>
    <w:lvl w:ilvl="2" w:tplc="040C001B">
      <w:start w:val="1"/>
      <w:numFmt w:val="lowerRoman"/>
      <w:lvlText w:val="%3."/>
      <w:lvlJc w:val="right"/>
      <w:pPr>
        <w:ind w:left="2707" w:hanging="180"/>
      </w:pPr>
    </w:lvl>
    <w:lvl w:ilvl="3" w:tplc="040C000F">
      <w:start w:val="1"/>
      <w:numFmt w:val="decimal"/>
      <w:lvlText w:val="%4."/>
      <w:lvlJc w:val="left"/>
      <w:pPr>
        <w:ind w:left="3427" w:hanging="360"/>
      </w:pPr>
    </w:lvl>
    <w:lvl w:ilvl="4" w:tplc="040C0019">
      <w:start w:val="1"/>
      <w:numFmt w:val="lowerLetter"/>
      <w:lvlText w:val="%5."/>
      <w:lvlJc w:val="left"/>
      <w:pPr>
        <w:ind w:left="4147" w:hanging="360"/>
      </w:pPr>
    </w:lvl>
    <w:lvl w:ilvl="5" w:tplc="040C001B">
      <w:start w:val="1"/>
      <w:numFmt w:val="lowerRoman"/>
      <w:lvlText w:val="%6."/>
      <w:lvlJc w:val="right"/>
      <w:pPr>
        <w:ind w:left="4867" w:hanging="180"/>
      </w:pPr>
    </w:lvl>
    <w:lvl w:ilvl="6" w:tplc="040C000F">
      <w:start w:val="1"/>
      <w:numFmt w:val="decimal"/>
      <w:lvlText w:val="%7."/>
      <w:lvlJc w:val="left"/>
      <w:pPr>
        <w:ind w:left="5587" w:hanging="360"/>
      </w:pPr>
    </w:lvl>
    <w:lvl w:ilvl="7" w:tplc="040C0019">
      <w:start w:val="1"/>
      <w:numFmt w:val="lowerLetter"/>
      <w:lvlText w:val="%8."/>
      <w:lvlJc w:val="left"/>
      <w:pPr>
        <w:ind w:left="6307" w:hanging="360"/>
      </w:pPr>
    </w:lvl>
    <w:lvl w:ilvl="8" w:tplc="040C001B">
      <w:start w:val="1"/>
      <w:numFmt w:val="lowerRoman"/>
      <w:lvlText w:val="%9."/>
      <w:lvlJc w:val="right"/>
      <w:pPr>
        <w:ind w:left="7027" w:hanging="180"/>
      </w:pPr>
    </w:lvl>
  </w:abstractNum>
  <w:abstractNum w:abstractNumId="44" w15:restartNumberingAfterBreak="0">
    <w:nsid w:val="7EC10EDB"/>
    <w:multiLevelType w:val="multilevel"/>
    <w:tmpl w:val="004224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54"/>
        </w:tabs>
        <w:ind w:left="1134" w:hanging="34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3"/>
  </w:num>
  <w:num w:numId="3">
    <w:abstractNumId w:val="25"/>
  </w:num>
  <w:num w:numId="4">
    <w:abstractNumId w:val="14"/>
  </w:num>
  <w:num w:numId="5">
    <w:abstractNumId w:val="19"/>
  </w:num>
  <w:num w:numId="6">
    <w:abstractNumId w:val="39"/>
  </w:num>
  <w:num w:numId="7">
    <w:abstractNumId w:val="28"/>
  </w:num>
  <w:num w:numId="8">
    <w:abstractNumId w:val="38"/>
  </w:num>
  <w:num w:numId="9">
    <w:abstractNumId w:val="4"/>
  </w:num>
  <w:num w:numId="10">
    <w:abstractNumId w:val="15"/>
  </w:num>
  <w:num w:numId="11">
    <w:abstractNumId w:val="44"/>
  </w:num>
  <w:num w:numId="12">
    <w:abstractNumId w:val="3"/>
  </w:num>
  <w:num w:numId="13">
    <w:abstractNumId w:val="27"/>
  </w:num>
  <w:num w:numId="14">
    <w:abstractNumId w:val="31"/>
  </w:num>
  <w:num w:numId="15">
    <w:abstractNumId w:val="10"/>
  </w:num>
  <w:num w:numId="16">
    <w:abstractNumId w:val="3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 w:ilvl="0">
        <w:start w:val="2"/>
        <w:numFmt w:val="decimal"/>
        <w:lvlText w:val="%1."/>
        <w:lvlJc w:val="left"/>
        <w:pPr>
          <w:tabs>
            <w:tab w:val="num" w:pos="454"/>
          </w:tabs>
          <w:ind w:left="454" w:hanging="454"/>
        </w:pPr>
      </w:lvl>
    </w:lvlOverride>
    <w:lvlOverride w:ilvl="1">
      <w:lvl w:ilvl="1">
        <w:start w:val="1"/>
        <w:numFmt w:val="lowerLetter"/>
        <w:lvlText w:val="%2)"/>
        <w:lvlJc w:val="left"/>
        <w:pPr>
          <w:tabs>
            <w:tab w:val="num" w:pos="907"/>
          </w:tabs>
          <w:ind w:left="907" w:hanging="453"/>
        </w:pPr>
        <w:rPr>
          <w:rFonts w:ascii="Times New Roman" w:hAnsi="Times New Roman" w:cs="Times New Roman" w:hint="default"/>
          <w:sz w:val="24"/>
        </w:rPr>
      </w:lvl>
    </w:lvlOverride>
    <w:lvlOverride w:ilvl="2">
      <w:lvl w:ilvl="2">
        <w:start w:val="1"/>
        <w:numFmt w:val="decimal"/>
        <w:lvlText w:val="%3)"/>
        <w:lvlJc w:val="left"/>
        <w:pPr>
          <w:tabs>
            <w:tab w:val="num" w:pos="1361"/>
          </w:tabs>
          <w:ind w:left="1361" w:hanging="454"/>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 w:ilvl="0">
        <w:start w:val="1"/>
        <w:numFmt w:val="decimal"/>
        <w:lvlText w:val="%1."/>
        <w:lvlJc w:val="left"/>
        <w:pPr>
          <w:tabs>
            <w:tab w:val="num" w:pos="0"/>
          </w:tabs>
          <w:ind w:left="397" w:hanging="397"/>
        </w:pPr>
      </w:lvl>
    </w:lvlOverride>
    <w:lvlOverride w:ilvl="1">
      <w:lvl w:ilvl="1">
        <w:start w:val="1"/>
        <w:numFmt w:val="lowerLetter"/>
        <w:lvlText w:val="%2)"/>
        <w:lvlJc w:val="left"/>
        <w:pPr>
          <w:tabs>
            <w:tab w:val="num" w:pos="397"/>
          </w:tabs>
          <w:ind w:left="794" w:hanging="397"/>
        </w:pPr>
      </w:lvl>
    </w:lvlOverride>
    <w:lvlOverride w:ilvl="2">
      <w:lvl w:ilvl="2">
        <w:start w:val="1"/>
        <w:numFmt w:val="decimal"/>
        <w:lvlRestart w:val="0"/>
        <w:lvlText w:val="%3)"/>
        <w:lvlJc w:val="left"/>
        <w:pPr>
          <w:tabs>
            <w:tab w:val="num" w:pos="794"/>
          </w:tabs>
          <w:ind w:left="1191" w:hanging="397"/>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4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90"/>
    <w:rsid w:val="00000316"/>
    <w:rsid w:val="00000363"/>
    <w:rsid w:val="00000D5D"/>
    <w:rsid w:val="0000286C"/>
    <w:rsid w:val="000032B2"/>
    <w:rsid w:val="000041AD"/>
    <w:rsid w:val="000045E2"/>
    <w:rsid w:val="00004EB6"/>
    <w:rsid w:val="00005B55"/>
    <w:rsid w:val="00006011"/>
    <w:rsid w:val="0000649F"/>
    <w:rsid w:val="00006578"/>
    <w:rsid w:val="00010603"/>
    <w:rsid w:val="00011213"/>
    <w:rsid w:val="0001253C"/>
    <w:rsid w:val="00012760"/>
    <w:rsid w:val="00015F53"/>
    <w:rsid w:val="00020D8A"/>
    <w:rsid w:val="00021973"/>
    <w:rsid w:val="00024C2E"/>
    <w:rsid w:val="000274DC"/>
    <w:rsid w:val="00027AED"/>
    <w:rsid w:val="00030133"/>
    <w:rsid w:val="000310BA"/>
    <w:rsid w:val="00032C0F"/>
    <w:rsid w:val="00032F95"/>
    <w:rsid w:val="00033853"/>
    <w:rsid w:val="00036E22"/>
    <w:rsid w:val="00037FB7"/>
    <w:rsid w:val="00042AB3"/>
    <w:rsid w:val="0004317E"/>
    <w:rsid w:val="000455B6"/>
    <w:rsid w:val="0004637F"/>
    <w:rsid w:val="000464E4"/>
    <w:rsid w:val="000517A7"/>
    <w:rsid w:val="0005377E"/>
    <w:rsid w:val="00054F7D"/>
    <w:rsid w:val="00055E93"/>
    <w:rsid w:val="00056023"/>
    <w:rsid w:val="00056502"/>
    <w:rsid w:val="00060B28"/>
    <w:rsid w:val="00061424"/>
    <w:rsid w:val="00061D88"/>
    <w:rsid w:val="0006346A"/>
    <w:rsid w:val="00065275"/>
    <w:rsid w:val="00066B44"/>
    <w:rsid w:val="00066F0A"/>
    <w:rsid w:val="00070AD4"/>
    <w:rsid w:val="00073BF4"/>
    <w:rsid w:val="00073E99"/>
    <w:rsid w:val="000741FA"/>
    <w:rsid w:val="00074846"/>
    <w:rsid w:val="00075009"/>
    <w:rsid w:val="00081407"/>
    <w:rsid w:val="00081766"/>
    <w:rsid w:val="00081A13"/>
    <w:rsid w:val="00081DCA"/>
    <w:rsid w:val="00082885"/>
    <w:rsid w:val="00082FC4"/>
    <w:rsid w:val="000832A4"/>
    <w:rsid w:val="0008331F"/>
    <w:rsid w:val="0008359B"/>
    <w:rsid w:val="00083F02"/>
    <w:rsid w:val="000840DF"/>
    <w:rsid w:val="0008429E"/>
    <w:rsid w:val="000847A5"/>
    <w:rsid w:val="00084E29"/>
    <w:rsid w:val="000853BB"/>
    <w:rsid w:val="000861CA"/>
    <w:rsid w:val="000906C2"/>
    <w:rsid w:val="00090947"/>
    <w:rsid w:val="0009123F"/>
    <w:rsid w:val="000917C4"/>
    <w:rsid w:val="000924FF"/>
    <w:rsid w:val="00095614"/>
    <w:rsid w:val="00095B36"/>
    <w:rsid w:val="00096B0C"/>
    <w:rsid w:val="00097180"/>
    <w:rsid w:val="00097B8F"/>
    <w:rsid w:val="00097D93"/>
    <w:rsid w:val="000A1C43"/>
    <w:rsid w:val="000A1F25"/>
    <w:rsid w:val="000A2277"/>
    <w:rsid w:val="000A3331"/>
    <w:rsid w:val="000A3DD7"/>
    <w:rsid w:val="000A4FF2"/>
    <w:rsid w:val="000A57F8"/>
    <w:rsid w:val="000A696D"/>
    <w:rsid w:val="000A6EB7"/>
    <w:rsid w:val="000A7237"/>
    <w:rsid w:val="000B01EB"/>
    <w:rsid w:val="000B0B67"/>
    <w:rsid w:val="000B2D8F"/>
    <w:rsid w:val="000B3B65"/>
    <w:rsid w:val="000B44E1"/>
    <w:rsid w:val="000B4BA7"/>
    <w:rsid w:val="000B5E3D"/>
    <w:rsid w:val="000B6333"/>
    <w:rsid w:val="000B64F7"/>
    <w:rsid w:val="000B6538"/>
    <w:rsid w:val="000B686F"/>
    <w:rsid w:val="000B7602"/>
    <w:rsid w:val="000B785A"/>
    <w:rsid w:val="000C0308"/>
    <w:rsid w:val="000C32FB"/>
    <w:rsid w:val="000C35DD"/>
    <w:rsid w:val="000C4130"/>
    <w:rsid w:val="000C4EC3"/>
    <w:rsid w:val="000C6029"/>
    <w:rsid w:val="000C6C00"/>
    <w:rsid w:val="000D00A8"/>
    <w:rsid w:val="000D0F26"/>
    <w:rsid w:val="000D0FE9"/>
    <w:rsid w:val="000D1202"/>
    <w:rsid w:val="000D1AD2"/>
    <w:rsid w:val="000D2AB8"/>
    <w:rsid w:val="000D3FC2"/>
    <w:rsid w:val="000D5B30"/>
    <w:rsid w:val="000E0AF0"/>
    <w:rsid w:val="000E44A5"/>
    <w:rsid w:val="000E5301"/>
    <w:rsid w:val="000E618E"/>
    <w:rsid w:val="000E64D8"/>
    <w:rsid w:val="000E6DA6"/>
    <w:rsid w:val="000E70A3"/>
    <w:rsid w:val="000E754C"/>
    <w:rsid w:val="000F01C7"/>
    <w:rsid w:val="000F21CE"/>
    <w:rsid w:val="000F2359"/>
    <w:rsid w:val="000F2EDC"/>
    <w:rsid w:val="000F3A84"/>
    <w:rsid w:val="000F415E"/>
    <w:rsid w:val="000F435B"/>
    <w:rsid w:val="000F487E"/>
    <w:rsid w:val="000F4F2C"/>
    <w:rsid w:val="000F5781"/>
    <w:rsid w:val="000F7547"/>
    <w:rsid w:val="000F7C93"/>
    <w:rsid w:val="001010B0"/>
    <w:rsid w:val="00102013"/>
    <w:rsid w:val="001027B2"/>
    <w:rsid w:val="0010430F"/>
    <w:rsid w:val="00104361"/>
    <w:rsid w:val="0010447B"/>
    <w:rsid w:val="00105019"/>
    <w:rsid w:val="0010505B"/>
    <w:rsid w:val="00107015"/>
    <w:rsid w:val="00107842"/>
    <w:rsid w:val="00107C30"/>
    <w:rsid w:val="0011015E"/>
    <w:rsid w:val="001105C4"/>
    <w:rsid w:val="001109D4"/>
    <w:rsid w:val="00110A7F"/>
    <w:rsid w:val="00110B8E"/>
    <w:rsid w:val="001114AA"/>
    <w:rsid w:val="0011199B"/>
    <w:rsid w:val="00112DA0"/>
    <w:rsid w:val="00113597"/>
    <w:rsid w:val="00114818"/>
    <w:rsid w:val="00120B52"/>
    <w:rsid w:val="00120DF9"/>
    <w:rsid w:val="001219BE"/>
    <w:rsid w:val="001230B3"/>
    <w:rsid w:val="00123B28"/>
    <w:rsid w:val="00123B63"/>
    <w:rsid w:val="00124967"/>
    <w:rsid w:val="0012562E"/>
    <w:rsid w:val="00125821"/>
    <w:rsid w:val="00127BD2"/>
    <w:rsid w:val="0013101A"/>
    <w:rsid w:val="001312EA"/>
    <w:rsid w:val="00133D38"/>
    <w:rsid w:val="00135464"/>
    <w:rsid w:val="00135FEF"/>
    <w:rsid w:val="00136CF7"/>
    <w:rsid w:val="0013770A"/>
    <w:rsid w:val="00137C21"/>
    <w:rsid w:val="0014028A"/>
    <w:rsid w:val="0014083D"/>
    <w:rsid w:val="001414E1"/>
    <w:rsid w:val="00141DCB"/>
    <w:rsid w:val="00143D75"/>
    <w:rsid w:val="00145B73"/>
    <w:rsid w:val="00146196"/>
    <w:rsid w:val="0015082C"/>
    <w:rsid w:val="0015091B"/>
    <w:rsid w:val="00150AFD"/>
    <w:rsid w:val="001510FA"/>
    <w:rsid w:val="00152A73"/>
    <w:rsid w:val="0015407E"/>
    <w:rsid w:val="00156061"/>
    <w:rsid w:val="001579F0"/>
    <w:rsid w:val="00160571"/>
    <w:rsid w:val="00161C64"/>
    <w:rsid w:val="00162D5B"/>
    <w:rsid w:val="00163350"/>
    <w:rsid w:val="00163A4E"/>
    <w:rsid w:val="00164BDB"/>
    <w:rsid w:val="00164C7D"/>
    <w:rsid w:val="001652CA"/>
    <w:rsid w:val="00167FF0"/>
    <w:rsid w:val="00170349"/>
    <w:rsid w:val="00172261"/>
    <w:rsid w:val="00172823"/>
    <w:rsid w:val="0017790A"/>
    <w:rsid w:val="0018118A"/>
    <w:rsid w:val="00181503"/>
    <w:rsid w:val="001818D8"/>
    <w:rsid w:val="00181EFF"/>
    <w:rsid w:val="0018225F"/>
    <w:rsid w:val="001858E1"/>
    <w:rsid w:val="00186E28"/>
    <w:rsid w:val="00186E67"/>
    <w:rsid w:val="001906B8"/>
    <w:rsid w:val="00190999"/>
    <w:rsid w:val="001918C4"/>
    <w:rsid w:val="00191D81"/>
    <w:rsid w:val="00191DB0"/>
    <w:rsid w:val="001928B4"/>
    <w:rsid w:val="001949BC"/>
    <w:rsid w:val="00194C63"/>
    <w:rsid w:val="00195004"/>
    <w:rsid w:val="001A09D4"/>
    <w:rsid w:val="001A16C6"/>
    <w:rsid w:val="001A2ECD"/>
    <w:rsid w:val="001A4C46"/>
    <w:rsid w:val="001A4FBC"/>
    <w:rsid w:val="001A720A"/>
    <w:rsid w:val="001A76A1"/>
    <w:rsid w:val="001A7961"/>
    <w:rsid w:val="001A7D00"/>
    <w:rsid w:val="001B01DF"/>
    <w:rsid w:val="001B0590"/>
    <w:rsid w:val="001B2F52"/>
    <w:rsid w:val="001B30FE"/>
    <w:rsid w:val="001B3CC6"/>
    <w:rsid w:val="001B406F"/>
    <w:rsid w:val="001C0092"/>
    <w:rsid w:val="001C08FB"/>
    <w:rsid w:val="001C0C9D"/>
    <w:rsid w:val="001C165F"/>
    <w:rsid w:val="001C2B83"/>
    <w:rsid w:val="001C2C2E"/>
    <w:rsid w:val="001C30A4"/>
    <w:rsid w:val="001C3322"/>
    <w:rsid w:val="001C373E"/>
    <w:rsid w:val="001C541E"/>
    <w:rsid w:val="001C55BC"/>
    <w:rsid w:val="001C5C2B"/>
    <w:rsid w:val="001C61BB"/>
    <w:rsid w:val="001C64D2"/>
    <w:rsid w:val="001D0D85"/>
    <w:rsid w:val="001D10D3"/>
    <w:rsid w:val="001D1FE7"/>
    <w:rsid w:val="001D25C7"/>
    <w:rsid w:val="001D2790"/>
    <w:rsid w:val="001D2CD2"/>
    <w:rsid w:val="001D32E2"/>
    <w:rsid w:val="001D3FA3"/>
    <w:rsid w:val="001D5B7C"/>
    <w:rsid w:val="001D6F49"/>
    <w:rsid w:val="001E06E4"/>
    <w:rsid w:val="001E37B9"/>
    <w:rsid w:val="001E3D90"/>
    <w:rsid w:val="001E402C"/>
    <w:rsid w:val="001E44B9"/>
    <w:rsid w:val="001E656A"/>
    <w:rsid w:val="001E66D5"/>
    <w:rsid w:val="001E6D2D"/>
    <w:rsid w:val="001E7141"/>
    <w:rsid w:val="001E7ACE"/>
    <w:rsid w:val="001F0D9C"/>
    <w:rsid w:val="001F0FC1"/>
    <w:rsid w:val="001F2084"/>
    <w:rsid w:val="001F2406"/>
    <w:rsid w:val="001F3010"/>
    <w:rsid w:val="001F33C5"/>
    <w:rsid w:val="001F40B6"/>
    <w:rsid w:val="001F430E"/>
    <w:rsid w:val="001F43AB"/>
    <w:rsid w:val="001F4AAB"/>
    <w:rsid w:val="001F621B"/>
    <w:rsid w:val="001F70A4"/>
    <w:rsid w:val="00200234"/>
    <w:rsid w:val="0020033D"/>
    <w:rsid w:val="00200EC3"/>
    <w:rsid w:val="00201087"/>
    <w:rsid w:val="00201DBC"/>
    <w:rsid w:val="0020236E"/>
    <w:rsid w:val="002023AE"/>
    <w:rsid w:val="00202727"/>
    <w:rsid w:val="00203690"/>
    <w:rsid w:val="0020401B"/>
    <w:rsid w:val="00206783"/>
    <w:rsid w:val="0020684F"/>
    <w:rsid w:val="00206864"/>
    <w:rsid w:val="002070A4"/>
    <w:rsid w:val="00210A83"/>
    <w:rsid w:val="002111F3"/>
    <w:rsid w:val="00211564"/>
    <w:rsid w:val="00212EAE"/>
    <w:rsid w:val="00213CE5"/>
    <w:rsid w:val="00217161"/>
    <w:rsid w:val="00217EB9"/>
    <w:rsid w:val="00217F53"/>
    <w:rsid w:val="00220C84"/>
    <w:rsid w:val="00221FC6"/>
    <w:rsid w:val="00223427"/>
    <w:rsid w:val="00224758"/>
    <w:rsid w:val="002252D7"/>
    <w:rsid w:val="00226452"/>
    <w:rsid w:val="002273B7"/>
    <w:rsid w:val="00230DD5"/>
    <w:rsid w:val="002334D7"/>
    <w:rsid w:val="00233DD5"/>
    <w:rsid w:val="00234539"/>
    <w:rsid w:val="00235ADC"/>
    <w:rsid w:val="00235C45"/>
    <w:rsid w:val="002400AA"/>
    <w:rsid w:val="002405CF"/>
    <w:rsid w:val="00240C9B"/>
    <w:rsid w:val="00242AD9"/>
    <w:rsid w:val="00242CE5"/>
    <w:rsid w:val="002430D4"/>
    <w:rsid w:val="00244159"/>
    <w:rsid w:val="002453B2"/>
    <w:rsid w:val="00245D3B"/>
    <w:rsid w:val="00245DDE"/>
    <w:rsid w:val="00246C83"/>
    <w:rsid w:val="00246D3D"/>
    <w:rsid w:val="00247978"/>
    <w:rsid w:val="00250B6C"/>
    <w:rsid w:val="0025200A"/>
    <w:rsid w:val="00253CD1"/>
    <w:rsid w:val="00253CD9"/>
    <w:rsid w:val="002546EA"/>
    <w:rsid w:val="00255944"/>
    <w:rsid w:val="00256501"/>
    <w:rsid w:val="00256510"/>
    <w:rsid w:val="00256BF4"/>
    <w:rsid w:val="0025792D"/>
    <w:rsid w:val="00260CC7"/>
    <w:rsid w:val="002616EC"/>
    <w:rsid w:val="0026326D"/>
    <w:rsid w:val="00263855"/>
    <w:rsid w:val="00263CBE"/>
    <w:rsid w:val="0026687E"/>
    <w:rsid w:val="00266D41"/>
    <w:rsid w:val="00266F3B"/>
    <w:rsid w:val="0026710D"/>
    <w:rsid w:val="0027127E"/>
    <w:rsid w:val="00271BFC"/>
    <w:rsid w:val="0027247D"/>
    <w:rsid w:val="0027325A"/>
    <w:rsid w:val="002734C4"/>
    <w:rsid w:val="00273EEF"/>
    <w:rsid w:val="00274372"/>
    <w:rsid w:val="002747A7"/>
    <w:rsid w:val="0027481D"/>
    <w:rsid w:val="00276578"/>
    <w:rsid w:val="0027776B"/>
    <w:rsid w:val="00280D2F"/>
    <w:rsid w:val="00283E84"/>
    <w:rsid w:val="00285896"/>
    <w:rsid w:val="00285BA8"/>
    <w:rsid w:val="00285D07"/>
    <w:rsid w:val="00286EE5"/>
    <w:rsid w:val="002927D5"/>
    <w:rsid w:val="00294410"/>
    <w:rsid w:val="00295126"/>
    <w:rsid w:val="002965BA"/>
    <w:rsid w:val="00297FB0"/>
    <w:rsid w:val="002A0AF7"/>
    <w:rsid w:val="002A0FCE"/>
    <w:rsid w:val="002A17A4"/>
    <w:rsid w:val="002A2CF3"/>
    <w:rsid w:val="002A3A6E"/>
    <w:rsid w:val="002A42D0"/>
    <w:rsid w:val="002A4389"/>
    <w:rsid w:val="002A70C5"/>
    <w:rsid w:val="002A70D2"/>
    <w:rsid w:val="002A78F5"/>
    <w:rsid w:val="002A7D13"/>
    <w:rsid w:val="002B0921"/>
    <w:rsid w:val="002B1350"/>
    <w:rsid w:val="002B1FDC"/>
    <w:rsid w:val="002B22E8"/>
    <w:rsid w:val="002B2481"/>
    <w:rsid w:val="002B25EA"/>
    <w:rsid w:val="002B6F8D"/>
    <w:rsid w:val="002B7CA9"/>
    <w:rsid w:val="002C060E"/>
    <w:rsid w:val="002C238D"/>
    <w:rsid w:val="002C25D4"/>
    <w:rsid w:val="002C2DDA"/>
    <w:rsid w:val="002C3F1E"/>
    <w:rsid w:val="002C47EE"/>
    <w:rsid w:val="002C4DF9"/>
    <w:rsid w:val="002C67A1"/>
    <w:rsid w:val="002C6959"/>
    <w:rsid w:val="002C76F5"/>
    <w:rsid w:val="002C7717"/>
    <w:rsid w:val="002C7EAE"/>
    <w:rsid w:val="002D046F"/>
    <w:rsid w:val="002D4A97"/>
    <w:rsid w:val="002D4FFA"/>
    <w:rsid w:val="002D761C"/>
    <w:rsid w:val="002E0CC8"/>
    <w:rsid w:val="002E2D45"/>
    <w:rsid w:val="002E4203"/>
    <w:rsid w:val="002E42A4"/>
    <w:rsid w:val="002F0475"/>
    <w:rsid w:val="002F13CC"/>
    <w:rsid w:val="002F2A83"/>
    <w:rsid w:val="002F2B59"/>
    <w:rsid w:val="002F3578"/>
    <w:rsid w:val="002F474D"/>
    <w:rsid w:val="002F4AB6"/>
    <w:rsid w:val="002F516A"/>
    <w:rsid w:val="002F5328"/>
    <w:rsid w:val="002F555D"/>
    <w:rsid w:val="002F6487"/>
    <w:rsid w:val="00300CF9"/>
    <w:rsid w:val="00301F41"/>
    <w:rsid w:val="003021FE"/>
    <w:rsid w:val="00303246"/>
    <w:rsid w:val="003063C4"/>
    <w:rsid w:val="00306810"/>
    <w:rsid w:val="00307A0E"/>
    <w:rsid w:val="003103FB"/>
    <w:rsid w:val="0031057F"/>
    <w:rsid w:val="003133CF"/>
    <w:rsid w:val="0031393D"/>
    <w:rsid w:val="00314200"/>
    <w:rsid w:val="003145A4"/>
    <w:rsid w:val="003148F8"/>
    <w:rsid w:val="003155F0"/>
    <w:rsid w:val="00315986"/>
    <w:rsid w:val="00317D73"/>
    <w:rsid w:val="00322E0D"/>
    <w:rsid w:val="003256EC"/>
    <w:rsid w:val="00325E2D"/>
    <w:rsid w:val="00326328"/>
    <w:rsid w:val="00326A8A"/>
    <w:rsid w:val="00327EA5"/>
    <w:rsid w:val="00330675"/>
    <w:rsid w:val="003319E4"/>
    <w:rsid w:val="00332EC7"/>
    <w:rsid w:val="00333767"/>
    <w:rsid w:val="003340E6"/>
    <w:rsid w:val="00334BE3"/>
    <w:rsid w:val="00334D96"/>
    <w:rsid w:val="00337258"/>
    <w:rsid w:val="00337F98"/>
    <w:rsid w:val="00341AEB"/>
    <w:rsid w:val="00342429"/>
    <w:rsid w:val="00344370"/>
    <w:rsid w:val="00344E78"/>
    <w:rsid w:val="00345A58"/>
    <w:rsid w:val="003466B8"/>
    <w:rsid w:val="00346EDD"/>
    <w:rsid w:val="00347F25"/>
    <w:rsid w:val="003502B0"/>
    <w:rsid w:val="003511BB"/>
    <w:rsid w:val="0035123B"/>
    <w:rsid w:val="00351413"/>
    <w:rsid w:val="00351DE6"/>
    <w:rsid w:val="00353142"/>
    <w:rsid w:val="00354750"/>
    <w:rsid w:val="00354E78"/>
    <w:rsid w:val="003557D9"/>
    <w:rsid w:val="00357DF0"/>
    <w:rsid w:val="00357F75"/>
    <w:rsid w:val="003618F1"/>
    <w:rsid w:val="00361D77"/>
    <w:rsid w:val="00362F6F"/>
    <w:rsid w:val="003646D4"/>
    <w:rsid w:val="0036490F"/>
    <w:rsid w:val="003678FC"/>
    <w:rsid w:val="00367C7A"/>
    <w:rsid w:val="003741EC"/>
    <w:rsid w:val="00374575"/>
    <w:rsid w:val="00374B88"/>
    <w:rsid w:val="003758F3"/>
    <w:rsid w:val="00375925"/>
    <w:rsid w:val="00376A6A"/>
    <w:rsid w:val="00376F47"/>
    <w:rsid w:val="00377DF5"/>
    <w:rsid w:val="00377FF3"/>
    <w:rsid w:val="00381E8E"/>
    <w:rsid w:val="00382222"/>
    <w:rsid w:val="00384DD7"/>
    <w:rsid w:val="00385BC6"/>
    <w:rsid w:val="00387162"/>
    <w:rsid w:val="00387528"/>
    <w:rsid w:val="003877D9"/>
    <w:rsid w:val="003878F5"/>
    <w:rsid w:val="00390AD3"/>
    <w:rsid w:val="0039103C"/>
    <w:rsid w:val="00393E04"/>
    <w:rsid w:val="00393F0E"/>
    <w:rsid w:val="0039415B"/>
    <w:rsid w:val="00394975"/>
    <w:rsid w:val="00395F94"/>
    <w:rsid w:val="00396DA9"/>
    <w:rsid w:val="00397A82"/>
    <w:rsid w:val="003A13A5"/>
    <w:rsid w:val="003A24C2"/>
    <w:rsid w:val="003A5B8A"/>
    <w:rsid w:val="003A66B8"/>
    <w:rsid w:val="003A7100"/>
    <w:rsid w:val="003B2269"/>
    <w:rsid w:val="003B584A"/>
    <w:rsid w:val="003B5996"/>
    <w:rsid w:val="003B6471"/>
    <w:rsid w:val="003B71AA"/>
    <w:rsid w:val="003B7E10"/>
    <w:rsid w:val="003C0ED3"/>
    <w:rsid w:val="003C1A85"/>
    <w:rsid w:val="003C2015"/>
    <w:rsid w:val="003C3AB8"/>
    <w:rsid w:val="003C663A"/>
    <w:rsid w:val="003C67CA"/>
    <w:rsid w:val="003C6A11"/>
    <w:rsid w:val="003D05E5"/>
    <w:rsid w:val="003D0E50"/>
    <w:rsid w:val="003D3D8F"/>
    <w:rsid w:val="003D3F5C"/>
    <w:rsid w:val="003D6529"/>
    <w:rsid w:val="003E0156"/>
    <w:rsid w:val="003E1025"/>
    <w:rsid w:val="003E1A19"/>
    <w:rsid w:val="003E30E4"/>
    <w:rsid w:val="003E366D"/>
    <w:rsid w:val="003E40CB"/>
    <w:rsid w:val="003E45C8"/>
    <w:rsid w:val="003E6506"/>
    <w:rsid w:val="003E67A0"/>
    <w:rsid w:val="003F3008"/>
    <w:rsid w:val="003F3123"/>
    <w:rsid w:val="003F3330"/>
    <w:rsid w:val="003F336B"/>
    <w:rsid w:val="003F3A14"/>
    <w:rsid w:val="003F4CBD"/>
    <w:rsid w:val="003F5B0B"/>
    <w:rsid w:val="003F6AE2"/>
    <w:rsid w:val="00400876"/>
    <w:rsid w:val="00400974"/>
    <w:rsid w:val="00400B9E"/>
    <w:rsid w:val="0040336B"/>
    <w:rsid w:val="00406AF5"/>
    <w:rsid w:val="0040700A"/>
    <w:rsid w:val="004111C6"/>
    <w:rsid w:val="0041174C"/>
    <w:rsid w:val="004117CE"/>
    <w:rsid w:val="004117EB"/>
    <w:rsid w:val="00411F96"/>
    <w:rsid w:val="00413606"/>
    <w:rsid w:val="0041604F"/>
    <w:rsid w:val="00420AC9"/>
    <w:rsid w:val="00421F60"/>
    <w:rsid w:val="00423FB1"/>
    <w:rsid w:val="004272C8"/>
    <w:rsid w:val="004313B4"/>
    <w:rsid w:val="00431AFD"/>
    <w:rsid w:val="004325AF"/>
    <w:rsid w:val="00433205"/>
    <w:rsid w:val="0043435C"/>
    <w:rsid w:val="0043458B"/>
    <w:rsid w:val="00434F54"/>
    <w:rsid w:val="00436096"/>
    <w:rsid w:val="004378DB"/>
    <w:rsid w:val="00437E66"/>
    <w:rsid w:val="00440140"/>
    <w:rsid w:val="00441F50"/>
    <w:rsid w:val="004422BE"/>
    <w:rsid w:val="00442A17"/>
    <w:rsid w:val="00442B69"/>
    <w:rsid w:val="0044548D"/>
    <w:rsid w:val="00445C4E"/>
    <w:rsid w:val="00446470"/>
    <w:rsid w:val="0044657C"/>
    <w:rsid w:val="00447142"/>
    <w:rsid w:val="00447960"/>
    <w:rsid w:val="00450AF2"/>
    <w:rsid w:val="00450D71"/>
    <w:rsid w:val="004512F3"/>
    <w:rsid w:val="00452542"/>
    <w:rsid w:val="00452F14"/>
    <w:rsid w:val="004531FA"/>
    <w:rsid w:val="00454389"/>
    <w:rsid w:val="00455FAA"/>
    <w:rsid w:val="0045602D"/>
    <w:rsid w:val="004601CA"/>
    <w:rsid w:val="00461DE7"/>
    <w:rsid w:val="00464E3A"/>
    <w:rsid w:val="004653FC"/>
    <w:rsid w:val="00466EF3"/>
    <w:rsid w:val="00467655"/>
    <w:rsid w:val="00467D12"/>
    <w:rsid w:val="0047008F"/>
    <w:rsid w:val="00470A5D"/>
    <w:rsid w:val="00471AC0"/>
    <w:rsid w:val="00474B4F"/>
    <w:rsid w:val="00476285"/>
    <w:rsid w:val="0047753F"/>
    <w:rsid w:val="00480793"/>
    <w:rsid w:val="0048172A"/>
    <w:rsid w:val="00481CAE"/>
    <w:rsid w:val="004825BE"/>
    <w:rsid w:val="00483793"/>
    <w:rsid w:val="00484A21"/>
    <w:rsid w:val="0048575D"/>
    <w:rsid w:val="0048589C"/>
    <w:rsid w:val="00486551"/>
    <w:rsid w:val="0048666B"/>
    <w:rsid w:val="00487B2D"/>
    <w:rsid w:val="00493049"/>
    <w:rsid w:val="00494B4D"/>
    <w:rsid w:val="00495BA2"/>
    <w:rsid w:val="00495F02"/>
    <w:rsid w:val="00496976"/>
    <w:rsid w:val="00497480"/>
    <w:rsid w:val="00497C2F"/>
    <w:rsid w:val="004A03A6"/>
    <w:rsid w:val="004A14DC"/>
    <w:rsid w:val="004A1E44"/>
    <w:rsid w:val="004A1FA2"/>
    <w:rsid w:val="004A2A0F"/>
    <w:rsid w:val="004A2F54"/>
    <w:rsid w:val="004A415C"/>
    <w:rsid w:val="004A424A"/>
    <w:rsid w:val="004A4C13"/>
    <w:rsid w:val="004B0250"/>
    <w:rsid w:val="004B0634"/>
    <w:rsid w:val="004B216C"/>
    <w:rsid w:val="004B3057"/>
    <w:rsid w:val="004B54DD"/>
    <w:rsid w:val="004B5ADE"/>
    <w:rsid w:val="004B5CF6"/>
    <w:rsid w:val="004B6396"/>
    <w:rsid w:val="004C04F7"/>
    <w:rsid w:val="004C1076"/>
    <w:rsid w:val="004C26D7"/>
    <w:rsid w:val="004C5BB8"/>
    <w:rsid w:val="004C61C4"/>
    <w:rsid w:val="004C6655"/>
    <w:rsid w:val="004C7AC9"/>
    <w:rsid w:val="004D299E"/>
    <w:rsid w:val="004D4BB0"/>
    <w:rsid w:val="004D4E27"/>
    <w:rsid w:val="004D5400"/>
    <w:rsid w:val="004E13B5"/>
    <w:rsid w:val="004E474A"/>
    <w:rsid w:val="004E6141"/>
    <w:rsid w:val="004E6672"/>
    <w:rsid w:val="004E6DAE"/>
    <w:rsid w:val="004E6FEA"/>
    <w:rsid w:val="004E78E8"/>
    <w:rsid w:val="004F0BE4"/>
    <w:rsid w:val="004F28BE"/>
    <w:rsid w:val="004F2F69"/>
    <w:rsid w:val="004F4F02"/>
    <w:rsid w:val="004F57E6"/>
    <w:rsid w:val="004F5C4F"/>
    <w:rsid w:val="004F6DBD"/>
    <w:rsid w:val="004F7AE9"/>
    <w:rsid w:val="00502532"/>
    <w:rsid w:val="00502533"/>
    <w:rsid w:val="00504131"/>
    <w:rsid w:val="0050486A"/>
    <w:rsid w:val="00504B32"/>
    <w:rsid w:val="00507205"/>
    <w:rsid w:val="005100B7"/>
    <w:rsid w:val="005100F0"/>
    <w:rsid w:val="00510790"/>
    <w:rsid w:val="00512906"/>
    <w:rsid w:val="00512F4B"/>
    <w:rsid w:val="00515A10"/>
    <w:rsid w:val="00516031"/>
    <w:rsid w:val="00516BA7"/>
    <w:rsid w:val="00520769"/>
    <w:rsid w:val="00521005"/>
    <w:rsid w:val="00522B3B"/>
    <w:rsid w:val="005236C5"/>
    <w:rsid w:val="005239CF"/>
    <w:rsid w:val="005242FB"/>
    <w:rsid w:val="00525875"/>
    <w:rsid w:val="005266DF"/>
    <w:rsid w:val="00531234"/>
    <w:rsid w:val="00531E99"/>
    <w:rsid w:val="0053214E"/>
    <w:rsid w:val="005351EC"/>
    <w:rsid w:val="00535A10"/>
    <w:rsid w:val="00535A8D"/>
    <w:rsid w:val="00535DD6"/>
    <w:rsid w:val="005360CE"/>
    <w:rsid w:val="005368DA"/>
    <w:rsid w:val="00540C1B"/>
    <w:rsid w:val="00541CEA"/>
    <w:rsid w:val="005437B7"/>
    <w:rsid w:val="00543AD2"/>
    <w:rsid w:val="00543DFD"/>
    <w:rsid w:val="00543FBD"/>
    <w:rsid w:val="00544F63"/>
    <w:rsid w:val="005455A1"/>
    <w:rsid w:val="00546F51"/>
    <w:rsid w:val="005470DC"/>
    <w:rsid w:val="00552943"/>
    <w:rsid w:val="005537FF"/>
    <w:rsid w:val="00553CDE"/>
    <w:rsid w:val="00555C24"/>
    <w:rsid w:val="00555C9E"/>
    <w:rsid w:val="00555E1E"/>
    <w:rsid w:val="0055647F"/>
    <w:rsid w:val="00560299"/>
    <w:rsid w:val="00560ADA"/>
    <w:rsid w:val="005615B2"/>
    <w:rsid w:val="00561D19"/>
    <w:rsid w:val="0056602C"/>
    <w:rsid w:val="00566C53"/>
    <w:rsid w:val="00567F9E"/>
    <w:rsid w:val="00571039"/>
    <w:rsid w:val="005720D8"/>
    <w:rsid w:val="00572E69"/>
    <w:rsid w:val="00573552"/>
    <w:rsid w:val="00574988"/>
    <w:rsid w:val="00574BD5"/>
    <w:rsid w:val="00575DC0"/>
    <w:rsid w:val="00576031"/>
    <w:rsid w:val="00576091"/>
    <w:rsid w:val="00577571"/>
    <w:rsid w:val="0058006C"/>
    <w:rsid w:val="00580EA2"/>
    <w:rsid w:val="00582473"/>
    <w:rsid w:val="005831B5"/>
    <w:rsid w:val="0058736B"/>
    <w:rsid w:val="00591382"/>
    <w:rsid w:val="005930D7"/>
    <w:rsid w:val="005934D9"/>
    <w:rsid w:val="00594453"/>
    <w:rsid w:val="00596D56"/>
    <w:rsid w:val="00596D99"/>
    <w:rsid w:val="00597DA5"/>
    <w:rsid w:val="005A185F"/>
    <w:rsid w:val="005A3022"/>
    <w:rsid w:val="005A4679"/>
    <w:rsid w:val="005A4D79"/>
    <w:rsid w:val="005A5833"/>
    <w:rsid w:val="005A5954"/>
    <w:rsid w:val="005A632D"/>
    <w:rsid w:val="005A711F"/>
    <w:rsid w:val="005A784B"/>
    <w:rsid w:val="005A7D88"/>
    <w:rsid w:val="005B1B2B"/>
    <w:rsid w:val="005B1BA9"/>
    <w:rsid w:val="005B2B4E"/>
    <w:rsid w:val="005B328A"/>
    <w:rsid w:val="005B3BE8"/>
    <w:rsid w:val="005B3CC4"/>
    <w:rsid w:val="005B5CE4"/>
    <w:rsid w:val="005B5EAF"/>
    <w:rsid w:val="005B6980"/>
    <w:rsid w:val="005B72D1"/>
    <w:rsid w:val="005B735D"/>
    <w:rsid w:val="005B7B99"/>
    <w:rsid w:val="005C1A4C"/>
    <w:rsid w:val="005C2C28"/>
    <w:rsid w:val="005C3B65"/>
    <w:rsid w:val="005C6A76"/>
    <w:rsid w:val="005D04C3"/>
    <w:rsid w:val="005D0F51"/>
    <w:rsid w:val="005D301D"/>
    <w:rsid w:val="005D37F5"/>
    <w:rsid w:val="005D3AFF"/>
    <w:rsid w:val="005D4722"/>
    <w:rsid w:val="005D5280"/>
    <w:rsid w:val="005D6C65"/>
    <w:rsid w:val="005D7A6B"/>
    <w:rsid w:val="005E01FB"/>
    <w:rsid w:val="005E2117"/>
    <w:rsid w:val="005E4093"/>
    <w:rsid w:val="005E4226"/>
    <w:rsid w:val="005E6A82"/>
    <w:rsid w:val="005E6AFE"/>
    <w:rsid w:val="005E6E46"/>
    <w:rsid w:val="005F09B5"/>
    <w:rsid w:val="005F2115"/>
    <w:rsid w:val="005F3304"/>
    <w:rsid w:val="005F3AD5"/>
    <w:rsid w:val="005F3E6A"/>
    <w:rsid w:val="005F4635"/>
    <w:rsid w:val="005F5235"/>
    <w:rsid w:val="005F7722"/>
    <w:rsid w:val="0060124F"/>
    <w:rsid w:val="00601626"/>
    <w:rsid w:val="00602060"/>
    <w:rsid w:val="00602D85"/>
    <w:rsid w:val="00602FCB"/>
    <w:rsid w:val="00604544"/>
    <w:rsid w:val="00604776"/>
    <w:rsid w:val="00605BCE"/>
    <w:rsid w:val="00606909"/>
    <w:rsid w:val="006109DA"/>
    <w:rsid w:val="00610BAE"/>
    <w:rsid w:val="006123AB"/>
    <w:rsid w:val="006135D4"/>
    <w:rsid w:val="00614240"/>
    <w:rsid w:val="00615717"/>
    <w:rsid w:val="0061626D"/>
    <w:rsid w:val="00617FA2"/>
    <w:rsid w:val="00620291"/>
    <w:rsid w:val="006224AD"/>
    <w:rsid w:val="00622636"/>
    <w:rsid w:val="0062269F"/>
    <w:rsid w:val="00623862"/>
    <w:rsid w:val="00623F7E"/>
    <w:rsid w:val="00624241"/>
    <w:rsid w:val="0063066D"/>
    <w:rsid w:val="00631BB6"/>
    <w:rsid w:val="00632101"/>
    <w:rsid w:val="0063269C"/>
    <w:rsid w:val="006341F6"/>
    <w:rsid w:val="00634A36"/>
    <w:rsid w:val="00636200"/>
    <w:rsid w:val="006411B1"/>
    <w:rsid w:val="006417CA"/>
    <w:rsid w:val="0064460D"/>
    <w:rsid w:val="00644E57"/>
    <w:rsid w:val="006451A5"/>
    <w:rsid w:val="0064548A"/>
    <w:rsid w:val="00645F6E"/>
    <w:rsid w:val="00646425"/>
    <w:rsid w:val="00646A3B"/>
    <w:rsid w:val="00646E1C"/>
    <w:rsid w:val="006502EC"/>
    <w:rsid w:val="00651F31"/>
    <w:rsid w:val="006526E3"/>
    <w:rsid w:val="00652D42"/>
    <w:rsid w:val="00652D60"/>
    <w:rsid w:val="00653A35"/>
    <w:rsid w:val="00654EF2"/>
    <w:rsid w:val="006550B2"/>
    <w:rsid w:val="0065585B"/>
    <w:rsid w:val="006605EA"/>
    <w:rsid w:val="00663F98"/>
    <w:rsid w:val="006640B4"/>
    <w:rsid w:val="006641F0"/>
    <w:rsid w:val="006643BA"/>
    <w:rsid w:val="00664B84"/>
    <w:rsid w:val="00665901"/>
    <w:rsid w:val="006666A2"/>
    <w:rsid w:val="00666BDB"/>
    <w:rsid w:val="00667A1E"/>
    <w:rsid w:val="00667AB4"/>
    <w:rsid w:val="00672174"/>
    <w:rsid w:val="006732E3"/>
    <w:rsid w:val="00674383"/>
    <w:rsid w:val="006748B6"/>
    <w:rsid w:val="00675F54"/>
    <w:rsid w:val="00677832"/>
    <w:rsid w:val="00677B10"/>
    <w:rsid w:val="0068013A"/>
    <w:rsid w:val="00680569"/>
    <w:rsid w:val="006808D0"/>
    <w:rsid w:val="00681D56"/>
    <w:rsid w:val="00682CF2"/>
    <w:rsid w:val="00682ED9"/>
    <w:rsid w:val="00684D7B"/>
    <w:rsid w:val="00685703"/>
    <w:rsid w:val="00685D58"/>
    <w:rsid w:val="00687BA6"/>
    <w:rsid w:val="0069078E"/>
    <w:rsid w:val="00691505"/>
    <w:rsid w:val="00693539"/>
    <w:rsid w:val="006936EF"/>
    <w:rsid w:val="006A0FC7"/>
    <w:rsid w:val="006A12EE"/>
    <w:rsid w:val="006A3A36"/>
    <w:rsid w:val="006A3AB5"/>
    <w:rsid w:val="006A3F30"/>
    <w:rsid w:val="006A401D"/>
    <w:rsid w:val="006A44BC"/>
    <w:rsid w:val="006A56EA"/>
    <w:rsid w:val="006A63BE"/>
    <w:rsid w:val="006A6BC4"/>
    <w:rsid w:val="006A6DD8"/>
    <w:rsid w:val="006A724D"/>
    <w:rsid w:val="006B037B"/>
    <w:rsid w:val="006B0597"/>
    <w:rsid w:val="006B0D07"/>
    <w:rsid w:val="006B1668"/>
    <w:rsid w:val="006B19E2"/>
    <w:rsid w:val="006B1CF6"/>
    <w:rsid w:val="006B5265"/>
    <w:rsid w:val="006C0684"/>
    <w:rsid w:val="006C07DA"/>
    <w:rsid w:val="006C13C4"/>
    <w:rsid w:val="006C1624"/>
    <w:rsid w:val="006C3024"/>
    <w:rsid w:val="006C4FF5"/>
    <w:rsid w:val="006C58E9"/>
    <w:rsid w:val="006C6364"/>
    <w:rsid w:val="006C6839"/>
    <w:rsid w:val="006D1448"/>
    <w:rsid w:val="006D14CD"/>
    <w:rsid w:val="006D14F1"/>
    <w:rsid w:val="006D2479"/>
    <w:rsid w:val="006D3FB5"/>
    <w:rsid w:val="006D4F52"/>
    <w:rsid w:val="006D5373"/>
    <w:rsid w:val="006D53DC"/>
    <w:rsid w:val="006D5637"/>
    <w:rsid w:val="006D6CC1"/>
    <w:rsid w:val="006D75D0"/>
    <w:rsid w:val="006D79D0"/>
    <w:rsid w:val="006D7C45"/>
    <w:rsid w:val="006E1287"/>
    <w:rsid w:val="006E1AF6"/>
    <w:rsid w:val="006E25F1"/>
    <w:rsid w:val="006E2E65"/>
    <w:rsid w:val="006E3B83"/>
    <w:rsid w:val="006E40B4"/>
    <w:rsid w:val="006E53DB"/>
    <w:rsid w:val="006E55ED"/>
    <w:rsid w:val="006E5999"/>
    <w:rsid w:val="006E5C21"/>
    <w:rsid w:val="006E7ADA"/>
    <w:rsid w:val="006E7C67"/>
    <w:rsid w:val="006F0283"/>
    <w:rsid w:val="006F0DF3"/>
    <w:rsid w:val="006F2653"/>
    <w:rsid w:val="006F2A54"/>
    <w:rsid w:val="006F358F"/>
    <w:rsid w:val="006F4CAC"/>
    <w:rsid w:val="006F5CC0"/>
    <w:rsid w:val="0070180C"/>
    <w:rsid w:val="00701B4A"/>
    <w:rsid w:val="00701CC4"/>
    <w:rsid w:val="0070224C"/>
    <w:rsid w:val="00703E60"/>
    <w:rsid w:val="00703EEA"/>
    <w:rsid w:val="007046AA"/>
    <w:rsid w:val="007050C0"/>
    <w:rsid w:val="007058DE"/>
    <w:rsid w:val="00707580"/>
    <w:rsid w:val="00707BF6"/>
    <w:rsid w:val="0071067C"/>
    <w:rsid w:val="00710A3B"/>
    <w:rsid w:val="007123C0"/>
    <w:rsid w:val="00712E75"/>
    <w:rsid w:val="0071307D"/>
    <w:rsid w:val="00713717"/>
    <w:rsid w:val="007165B7"/>
    <w:rsid w:val="00716B3A"/>
    <w:rsid w:val="00716F86"/>
    <w:rsid w:val="0071705D"/>
    <w:rsid w:val="0071761D"/>
    <w:rsid w:val="00717A5B"/>
    <w:rsid w:val="007229DC"/>
    <w:rsid w:val="0072331E"/>
    <w:rsid w:val="00724CAF"/>
    <w:rsid w:val="007255D3"/>
    <w:rsid w:val="00725AA8"/>
    <w:rsid w:val="00726428"/>
    <w:rsid w:val="00727CF3"/>
    <w:rsid w:val="0073137A"/>
    <w:rsid w:val="00731BE4"/>
    <w:rsid w:val="0073553B"/>
    <w:rsid w:val="0073602A"/>
    <w:rsid w:val="00736806"/>
    <w:rsid w:val="00736FE0"/>
    <w:rsid w:val="00737BE8"/>
    <w:rsid w:val="00740037"/>
    <w:rsid w:val="007417B1"/>
    <w:rsid w:val="0074212F"/>
    <w:rsid w:val="00743CFF"/>
    <w:rsid w:val="00744DFA"/>
    <w:rsid w:val="00747899"/>
    <w:rsid w:val="00747ECE"/>
    <w:rsid w:val="00750910"/>
    <w:rsid w:val="007509FC"/>
    <w:rsid w:val="00750DDF"/>
    <w:rsid w:val="007516E0"/>
    <w:rsid w:val="007522C3"/>
    <w:rsid w:val="007522CE"/>
    <w:rsid w:val="007527EA"/>
    <w:rsid w:val="00753F62"/>
    <w:rsid w:val="00754809"/>
    <w:rsid w:val="007574DE"/>
    <w:rsid w:val="00757898"/>
    <w:rsid w:val="007578F0"/>
    <w:rsid w:val="0076114C"/>
    <w:rsid w:val="0076319B"/>
    <w:rsid w:val="007637F3"/>
    <w:rsid w:val="007654FA"/>
    <w:rsid w:val="0076597A"/>
    <w:rsid w:val="00766D66"/>
    <w:rsid w:val="00770C7F"/>
    <w:rsid w:val="007712FE"/>
    <w:rsid w:val="00771A30"/>
    <w:rsid w:val="00772204"/>
    <w:rsid w:val="00772D9F"/>
    <w:rsid w:val="00773135"/>
    <w:rsid w:val="007761B5"/>
    <w:rsid w:val="0077768A"/>
    <w:rsid w:val="0078024B"/>
    <w:rsid w:val="007806F1"/>
    <w:rsid w:val="00781256"/>
    <w:rsid w:val="00781DF8"/>
    <w:rsid w:val="00782960"/>
    <w:rsid w:val="00783EDC"/>
    <w:rsid w:val="00784659"/>
    <w:rsid w:val="00784B22"/>
    <w:rsid w:val="00787337"/>
    <w:rsid w:val="0079130C"/>
    <w:rsid w:val="00792D63"/>
    <w:rsid w:val="00794B56"/>
    <w:rsid w:val="00794D6C"/>
    <w:rsid w:val="00794DFC"/>
    <w:rsid w:val="00796699"/>
    <w:rsid w:val="00797607"/>
    <w:rsid w:val="00797644"/>
    <w:rsid w:val="007A1C45"/>
    <w:rsid w:val="007A2C3E"/>
    <w:rsid w:val="007A2CC3"/>
    <w:rsid w:val="007A460F"/>
    <w:rsid w:val="007A4CC5"/>
    <w:rsid w:val="007A4DD8"/>
    <w:rsid w:val="007A4E10"/>
    <w:rsid w:val="007A652B"/>
    <w:rsid w:val="007A6951"/>
    <w:rsid w:val="007B0E0F"/>
    <w:rsid w:val="007B15AD"/>
    <w:rsid w:val="007B26ED"/>
    <w:rsid w:val="007B3B0D"/>
    <w:rsid w:val="007B4BD6"/>
    <w:rsid w:val="007B58E0"/>
    <w:rsid w:val="007B5F21"/>
    <w:rsid w:val="007B6DF5"/>
    <w:rsid w:val="007C1E13"/>
    <w:rsid w:val="007C47B6"/>
    <w:rsid w:val="007C532A"/>
    <w:rsid w:val="007C6248"/>
    <w:rsid w:val="007C68E8"/>
    <w:rsid w:val="007C6CEA"/>
    <w:rsid w:val="007D0496"/>
    <w:rsid w:val="007D3EF2"/>
    <w:rsid w:val="007D4F84"/>
    <w:rsid w:val="007D559A"/>
    <w:rsid w:val="007D59F0"/>
    <w:rsid w:val="007D6972"/>
    <w:rsid w:val="007D6B5A"/>
    <w:rsid w:val="007E09AF"/>
    <w:rsid w:val="007E0F57"/>
    <w:rsid w:val="007E1311"/>
    <w:rsid w:val="007E26F0"/>
    <w:rsid w:val="007E31F3"/>
    <w:rsid w:val="007E3875"/>
    <w:rsid w:val="007E5032"/>
    <w:rsid w:val="007E5430"/>
    <w:rsid w:val="007E65B9"/>
    <w:rsid w:val="007E6A57"/>
    <w:rsid w:val="007F0129"/>
    <w:rsid w:val="007F264E"/>
    <w:rsid w:val="007F267A"/>
    <w:rsid w:val="007F2BC0"/>
    <w:rsid w:val="007F330B"/>
    <w:rsid w:val="007F597C"/>
    <w:rsid w:val="008000F4"/>
    <w:rsid w:val="008003A4"/>
    <w:rsid w:val="00800DBD"/>
    <w:rsid w:val="00802BC5"/>
    <w:rsid w:val="00803DD7"/>
    <w:rsid w:val="008040AA"/>
    <w:rsid w:val="00807425"/>
    <w:rsid w:val="00810B20"/>
    <w:rsid w:val="00811C96"/>
    <w:rsid w:val="0081232C"/>
    <w:rsid w:val="00812C3A"/>
    <w:rsid w:val="00813691"/>
    <w:rsid w:val="00815D2D"/>
    <w:rsid w:val="00816BE9"/>
    <w:rsid w:val="00816FD0"/>
    <w:rsid w:val="00817A15"/>
    <w:rsid w:val="008200F6"/>
    <w:rsid w:val="00820B3A"/>
    <w:rsid w:val="00820DA4"/>
    <w:rsid w:val="00821710"/>
    <w:rsid w:val="00822EA6"/>
    <w:rsid w:val="00823BE9"/>
    <w:rsid w:val="00824497"/>
    <w:rsid w:val="008275D8"/>
    <w:rsid w:val="00827A2E"/>
    <w:rsid w:val="00827F55"/>
    <w:rsid w:val="008324A4"/>
    <w:rsid w:val="00836994"/>
    <w:rsid w:val="008405D4"/>
    <w:rsid w:val="0084061A"/>
    <w:rsid w:val="00840D54"/>
    <w:rsid w:val="00841F6B"/>
    <w:rsid w:val="00845101"/>
    <w:rsid w:val="00845657"/>
    <w:rsid w:val="00846450"/>
    <w:rsid w:val="00847F5B"/>
    <w:rsid w:val="00850588"/>
    <w:rsid w:val="00851CFB"/>
    <w:rsid w:val="00852A43"/>
    <w:rsid w:val="008534F8"/>
    <w:rsid w:val="00854FD9"/>
    <w:rsid w:val="00856FEB"/>
    <w:rsid w:val="008674F7"/>
    <w:rsid w:val="00872814"/>
    <w:rsid w:val="00872991"/>
    <w:rsid w:val="00875890"/>
    <w:rsid w:val="00875DE3"/>
    <w:rsid w:val="00881E46"/>
    <w:rsid w:val="008823D8"/>
    <w:rsid w:val="008838CB"/>
    <w:rsid w:val="0088451A"/>
    <w:rsid w:val="0088459F"/>
    <w:rsid w:val="0088546B"/>
    <w:rsid w:val="0088650C"/>
    <w:rsid w:val="00887BAF"/>
    <w:rsid w:val="008924AA"/>
    <w:rsid w:val="008924D9"/>
    <w:rsid w:val="00893EC6"/>
    <w:rsid w:val="008946DF"/>
    <w:rsid w:val="0089508B"/>
    <w:rsid w:val="00895B05"/>
    <w:rsid w:val="008A0BA0"/>
    <w:rsid w:val="008A112B"/>
    <w:rsid w:val="008A1735"/>
    <w:rsid w:val="008A2F07"/>
    <w:rsid w:val="008A3182"/>
    <w:rsid w:val="008A612C"/>
    <w:rsid w:val="008A6378"/>
    <w:rsid w:val="008A6CCB"/>
    <w:rsid w:val="008A74AF"/>
    <w:rsid w:val="008B0354"/>
    <w:rsid w:val="008B0DB8"/>
    <w:rsid w:val="008B149E"/>
    <w:rsid w:val="008B209D"/>
    <w:rsid w:val="008B3393"/>
    <w:rsid w:val="008B38A1"/>
    <w:rsid w:val="008B3C61"/>
    <w:rsid w:val="008B4351"/>
    <w:rsid w:val="008B55C7"/>
    <w:rsid w:val="008C05C5"/>
    <w:rsid w:val="008C0DF6"/>
    <w:rsid w:val="008C14F3"/>
    <w:rsid w:val="008C2A52"/>
    <w:rsid w:val="008C2DBD"/>
    <w:rsid w:val="008C7A10"/>
    <w:rsid w:val="008C7B0F"/>
    <w:rsid w:val="008D0184"/>
    <w:rsid w:val="008D1176"/>
    <w:rsid w:val="008D1BEB"/>
    <w:rsid w:val="008D256B"/>
    <w:rsid w:val="008D3E1A"/>
    <w:rsid w:val="008D4295"/>
    <w:rsid w:val="008D4AA9"/>
    <w:rsid w:val="008D6B7C"/>
    <w:rsid w:val="008E0355"/>
    <w:rsid w:val="008E1F66"/>
    <w:rsid w:val="008E2C2B"/>
    <w:rsid w:val="008E32C9"/>
    <w:rsid w:val="008E32E5"/>
    <w:rsid w:val="008E4631"/>
    <w:rsid w:val="008E463C"/>
    <w:rsid w:val="008E4AEB"/>
    <w:rsid w:val="008E6D9E"/>
    <w:rsid w:val="008E7A28"/>
    <w:rsid w:val="008F21B4"/>
    <w:rsid w:val="008F3022"/>
    <w:rsid w:val="008F3FAF"/>
    <w:rsid w:val="008F5110"/>
    <w:rsid w:val="008F7556"/>
    <w:rsid w:val="0090144F"/>
    <w:rsid w:val="00902DA5"/>
    <w:rsid w:val="00903EFA"/>
    <w:rsid w:val="0090441C"/>
    <w:rsid w:val="00905016"/>
    <w:rsid w:val="009055D0"/>
    <w:rsid w:val="009110EA"/>
    <w:rsid w:val="00913E49"/>
    <w:rsid w:val="00914C0F"/>
    <w:rsid w:val="009167CE"/>
    <w:rsid w:val="00916810"/>
    <w:rsid w:val="00916D07"/>
    <w:rsid w:val="00920710"/>
    <w:rsid w:val="0092132C"/>
    <w:rsid w:val="00921BEC"/>
    <w:rsid w:val="00922136"/>
    <w:rsid w:val="00923159"/>
    <w:rsid w:val="00923AE1"/>
    <w:rsid w:val="00923B79"/>
    <w:rsid w:val="00924253"/>
    <w:rsid w:val="00927275"/>
    <w:rsid w:val="00931197"/>
    <w:rsid w:val="0093244A"/>
    <w:rsid w:val="00932D46"/>
    <w:rsid w:val="00933458"/>
    <w:rsid w:val="00933491"/>
    <w:rsid w:val="0093505C"/>
    <w:rsid w:val="00935545"/>
    <w:rsid w:val="00935D9B"/>
    <w:rsid w:val="00936D63"/>
    <w:rsid w:val="00937E9E"/>
    <w:rsid w:val="00940E22"/>
    <w:rsid w:val="00940E7B"/>
    <w:rsid w:val="0094241E"/>
    <w:rsid w:val="00942A50"/>
    <w:rsid w:val="00942BA2"/>
    <w:rsid w:val="00944225"/>
    <w:rsid w:val="00944457"/>
    <w:rsid w:val="0094573D"/>
    <w:rsid w:val="00945920"/>
    <w:rsid w:val="009462E4"/>
    <w:rsid w:val="00946618"/>
    <w:rsid w:val="0095363B"/>
    <w:rsid w:val="00954817"/>
    <w:rsid w:val="009549F4"/>
    <w:rsid w:val="00954A94"/>
    <w:rsid w:val="00957071"/>
    <w:rsid w:val="009570C2"/>
    <w:rsid w:val="0096068B"/>
    <w:rsid w:val="00961E9E"/>
    <w:rsid w:val="009628F6"/>
    <w:rsid w:val="00962F1F"/>
    <w:rsid w:val="00965129"/>
    <w:rsid w:val="00965843"/>
    <w:rsid w:val="00965987"/>
    <w:rsid w:val="0096619C"/>
    <w:rsid w:val="009664EB"/>
    <w:rsid w:val="0096783F"/>
    <w:rsid w:val="00970B88"/>
    <w:rsid w:val="00971115"/>
    <w:rsid w:val="00972735"/>
    <w:rsid w:val="009755A3"/>
    <w:rsid w:val="00976677"/>
    <w:rsid w:val="00976AA6"/>
    <w:rsid w:val="009776FF"/>
    <w:rsid w:val="009777EB"/>
    <w:rsid w:val="00977E17"/>
    <w:rsid w:val="00980B6C"/>
    <w:rsid w:val="00980E9C"/>
    <w:rsid w:val="009811F6"/>
    <w:rsid w:val="00981E3D"/>
    <w:rsid w:val="00984810"/>
    <w:rsid w:val="00986730"/>
    <w:rsid w:val="009873FE"/>
    <w:rsid w:val="00990267"/>
    <w:rsid w:val="00990D32"/>
    <w:rsid w:val="00990DFB"/>
    <w:rsid w:val="0099102F"/>
    <w:rsid w:val="0099152A"/>
    <w:rsid w:val="009928DD"/>
    <w:rsid w:val="00992FFB"/>
    <w:rsid w:val="00993ECC"/>
    <w:rsid w:val="009944FB"/>
    <w:rsid w:val="009A0D58"/>
    <w:rsid w:val="009A0F2E"/>
    <w:rsid w:val="009A1BAE"/>
    <w:rsid w:val="009A2A6D"/>
    <w:rsid w:val="009A2E59"/>
    <w:rsid w:val="009A306F"/>
    <w:rsid w:val="009A43ED"/>
    <w:rsid w:val="009A462D"/>
    <w:rsid w:val="009A553A"/>
    <w:rsid w:val="009A72FF"/>
    <w:rsid w:val="009A7321"/>
    <w:rsid w:val="009B0246"/>
    <w:rsid w:val="009B0D5A"/>
    <w:rsid w:val="009B14D2"/>
    <w:rsid w:val="009B1701"/>
    <w:rsid w:val="009B24D1"/>
    <w:rsid w:val="009B28C4"/>
    <w:rsid w:val="009B2BA6"/>
    <w:rsid w:val="009B4535"/>
    <w:rsid w:val="009B4D78"/>
    <w:rsid w:val="009B5609"/>
    <w:rsid w:val="009B5624"/>
    <w:rsid w:val="009B6183"/>
    <w:rsid w:val="009B746E"/>
    <w:rsid w:val="009B778E"/>
    <w:rsid w:val="009C1024"/>
    <w:rsid w:val="009C1637"/>
    <w:rsid w:val="009C1AAB"/>
    <w:rsid w:val="009C1FB6"/>
    <w:rsid w:val="009C2E7C"/>
    <w:rsid w:val="009C3861"/>
    <w:rsid w:val="009C4C3D"/>
    <w:rsid w:val="009C5AFC"/>
    <w:rsid w:val="009C6791"/>
    <w:rsid w:val="009D0A12"/>
    <w:rsid w:val="009D1AC1"/>
    <w:rsid w:val="009D1B79"/>
    <w:rsid w:val="009D33FA"/>
    <w:rsid w:val="009D3C86"/>
    <w:rsid w:val="009D4176"/>
    <w:rsid w:val="009D54E0"/>
    <w:rsid w:val="009D5D2C"/>
    <w:rsid w:val="009D6118"/>
    <w:rsid w:val="009D72BD"/>
    <w:rsid w:val="009E18B1"/>
    <w:rsid w:val="009E18C1"/>
    <w:rsid w:val="009E229C"/>
    <w:rsid w:val="009E2D26"/>
    <w:rsid w:val="009E353D"/>
    <w:rsid w:val="009E3CB5"/>
    <w:rsid w:val="009E4101"/>
    <w:rsid w:val="009E43C5"/>
    <w:rsid w:val="009E5058"/>
    <w:rsid w:val="009E679C"/>
    <w:rsid w:val="009F10D3"/>
    <w:rsid w:val="009F12C2"/>
    <w:rsid w:val="009F1B49"/>
    <w:rsid w:val="009F1C48"/>
    <w:rsid w:val="009F26F1"/>
    <w:rsid w:val="009F481F"/>
    <w:rsid w:val="009F6497"/>
    <w:rsid w:val="009F6761"/>
    <w:rsid w:val="009F71CF"/>
    <w:rsid w:val="009F730C"/>
    <w:rsid w:val="009F7EF8"/>
    <w:rsid w:val="009F7EFB"/>
    <w:rsid w:val="00A012BE"/>
    <w:rsid w:val="00A01F15"/>
    <w:rsid w:val="00A02551"/>
    <w:rsid w:val="00A03901"/>
    <w:rsid w:val="00A04BE4"/>
    <w:rsid w:val="00A04F15"/>
    <w:rsid w:val="00A05EA0"/>
    <w:rsid w:val="00A07400"/>
    <w:rsid w:val="00A10092"/>
    <w:rsid w:val="00A10A06"/>
    <w:rsid w:val="00A14302"/>
    <w:rsid w:val="00A149A5"/>
    <w:rsid w:val="00A14ED3"/>
    <w:rsid w:val="00A15856"/>
    <w:rsid w:val="00A16F0C"/>
    <w:rsid w:val="00A20310"/>
    <w:rsid w:val="00A203C6"/>
    <w:rsid w:val="00A20E7C"/>
    <w:rsid w:val="00A21EE2"/>
    <w:rsid w:val="00A23AFD"/>
    <w:rsid w:val="00A2403C"/>
    <w:rsid w:val="00A2558E"/>
    <w:rsid w:val="00A25F1D"/>
    <w:rsid w:val="00A26677"/>
    <w:rsid w:val="00A26F1D"/>
    <w:rsid w:val="00A27CA4"/>
    <w:rsid w:val="00A30022"/>
    <w:rsid w:val="00A300B3"/>
    <w:rsid w:val="00A30496"/>
    <w:rsid w:val="00A315E5"/>
    <w:rsid w:val="00A32D92"/>
    <w:rsid w:val="00A34DE0"/>
    <w:rsid w:val="00A3543B"/>
    <w:rsid w:val="00A35990"/>
    <w:rsid w:val="00A35E18"/>
    <w:rsid w:val="00A4259E"/>
    <w:rsid w:val="00A42BE8"/>
    <w:rsid w:val="00A4397C"/>
    <w:rsid w:val="00A43B19"/>
    <w:rsid w:val="00A448B9"/>
    <w:rsid w:val="00A46095"/>
    <w:rsid w:val="00A46399"/>
    <w:rsid w:val="00A46E7D"/>
    <w:rsid w:val="00A47635"/>
    <w:rsid w:val="00A47683"/>
    <w:rsid w:val="00A51084"/>
    <w:rsid w:val="00A51D0A"/>
    <w:rsid w:val="00A51F34"/>
    <w:rsid w:val="00A52C69"/>
    <w:rsid w:val="00A53DDA"/>
    <w:rsid w:val="00A54A72"/>
    <w:rsid w:val="00A56A83"/>
    <w:rsid w:val="00A57596"/>
    <w:rsid w:val="00A57AE9"/>
    <w:rsid w:val="00A6025D"/>
    <w:rsid w:val="00A6103E"/>
    <w:rsid w:val="00A611C2"/>
    <w:rsid w:val="00A614F5"/>
    <w:rsid w:val="00A61EF2"/>
    <w:rsid w:val="00A62E08"/>
    <w:rsid w:val="00A63284"/>
    <w:rsid w:val="00A67CF7"/>
    <w:rsid w:val="00A71B20"/>
    <w:rsid w:val="00A722B3"/>
    <w:rsid w:val="00A724A2"/>
    <w:rsid w:val="00A724CB"/>
    <w:rsid w:val="00A726DF"/>
    <w:rsid w:val="00A73123"/>
    <w:rsid w:val="00A73252"/>
    <w:rsid w:val="00A755A8"/>
    <w:rsid w:val="00A77AB3"/>
    <w:rsid w:val="00A80088"/>
    <w:rsid w:val="00A81768"/>
    <w:rsid w:val="00A81B48"/>
    <w:rsid w:val="00A81EDF"/>
    <w:rsid w:val="00A834D9"/>
    <w:rsid w:val="00A8358C"/>
    <w:rsid w:val="00A916AB"/>
    <w:rsid w:val="00A9209C"/>
    <w:rsid w:val="00A935D8"/>
    <w:rsid w:val="00A93DD1"/>
    <w:rsid w:val="00A9511C"/>
    <w:rsid w:val="00A95D9F"/>
    <w:rsid w:val="00A95DD2"/>
    <w:rsid w:val="00A97C09"/>
    <w:rsid w:val="00AA089D"/>
    <w:rsid w:val="00AA104F"/>
    <w:rsid w:val="00AA1200"/>
    <w:rsid w:val="00AA1AF6"/>
    <w:rsid w:val="00AA1C33"/>
    <w:rsid w:val="00AA22C7"/>
    <w:rsid w:val="00AA36BB"/>
    <w:rsid w:val="00AA402E"/>
    <w:rsid w:val="00AA45FB"/>
    <w:rsid w:val="00AA5A9C"/>
    <w:rsid w:val="00AA6B88"/>
    <w:rsid w:val="00AA6D6F"/>
    <w:rsid w:val="00AB0234"/>
    <w:rsid w:val="00AB20F9"/>
    <w:rsid w:val="00AB4DB1"/>
    <w:rsid w:val="00AB7F0B"/>
    <w:rsid w:val="00AC2DD3"/>
    <w:rsid w:val="00AC3621"/>
    <w:rsid w:val="00AC3E03"/>
    <w:rsid w:val="00AC45D7"/>
    <w:rsid w:val="00AC53E1"/>
    <w:rsid w:val="00AC5C8E"/>
    <w:rsid w:val="00AD0A5E"/>
    <w:rsid w:val="00AD2244"/>
    <w:rsid w:val="00AD349F"/>
    <w:rsid w:val="00AD477E"/>
    <w:rsid w:val="00AD57EB"/>
    <w:rsid w:val="00AD5AE0"/>
    <w:rsid w:val="00AD5D21"/>
    <w:rsid w:val="00AD7B44"/>
    <w:rsid w:val="00AE1955"/>
    <w:rsid w:val="00AE274A"/>
    <w:rsid w:val="00AE2ADF"/>
    <w:rsid w:val="00AE3B7B"/>
    <w:rsid w:val="00AE4B22"/>
    <w:rsid w:val="00AE5CA0"/>
    <w:rsid w:val="00AE5D3B"/>
    <w:rsid w:val="00AE71C2"/>
    <w:rsid w:val="00AE76FA"/>
    <w:rsid w:val="00AF03BC"/>
    <w:rsid w:val="00AF1175"/>
    <w:rsid w:val="00AF279C"/>
    <w:rsid w:val="00AF315A"/>
    <w:rsid w:val="00AF3B3E"/>
    <w:rsid w:val="00AF4C1D"/>
    <w:rsid w:val="00AF5649"/>
    <w:rsid w:val="00AF6522"/>
    <w:rsid w:val="00B01708"/>
    <w:rsid w:val="00B01CDB"/>
    <w:rsid w:val="00B023BB"/>
    <w:rsid w:val="00B02572"/>
    <w:rsid w:val="00B03893"/>
    <w:rsid w:val="00B068D1"/>
    <w:rsid w:val="00B06B56"/>
    <w:rsid w:val="00B146CD"/>
    <w:rsid w:val="00B15917"/>
    <w:rsid w:val="00B17132"/>
    <w:rsid w:val="00B17600"/>
    <w:rsid w:val="00B17943"/>
    <w:rsid w:val="00B17FDB"/>
    <w:rsid w:val="00B20D28"/>
    <w:rsid w:val="00B21E58"/>
    <w:rsid w:val="00B221B2"/>
    <w:rsid w:val="00B246DA"/>
    <w:rsid w:val="00B24ED0"/>
    <w:rsid w:val="00B254CF"/>
    <w:rsid w:val="00B255F3"/>
    <w:rsid w:val="00B25F55"/>
    <w:rsid w:val="00B26448"/>
    <w:rsid w:val="00B273B9"/>
    <w:rsid w:val="00B27ED3"/>
    <w:rsid w:val="00B27F03"/>
    <w:rsid w:val="00B3080C"/>
    <w:rsid w:val="00B35103"/>
    <w:rsid w:val="00B35FEE"/>
    <w:rsid w:val="00B36CE1"/>
    <w:rsid w:val="00B370AA"/>
    <w:rsid w:val="00B372CC"/>
    <w:rsid w:val="00B40F0B"/>
    <w:rsid w:val="00B41269"/>
    <w:rsid w:val="00B433EE"/>
    <w:rsid w:val="00B43795"/>
    <w:rsid w:val="00B43AF3"/>
    <w:rsid w:val="00B464CB"/>
    <w:rsid w:val="00B4797E"/>
    <w:rsid w:val="00B5029C"/>
    <w:rsid w:val="00B50B8A"/>
    <w:rsid w:val="00B50DBD"/>
    <w:rsid w:val="00B534EF"/>
    <w:rsid w:val="00B5583E"/>
    <w:rsid w:val="00B573C7"/>
    <w:rsid w:val="00B618AB"/>
    <w:rsid w:val="00B648B9"/>
    <w:rsid w:val="00B66042"/>
    <w:rsid w:val="00B66FB7"/>
    <w:rsid w:val="00B7416C"/>
    <w:rsid w:val="00B74CCD"/>
    <w:rsid w:val="00B75FFB"/>
    <w:rsid w:val="00B766BF"/>
    <w:rsid w:val="00B771DD"/>
    <w:rsid w:val="00B773AA"/>
    <w:rsid w:val="00B81B1C"/>
    <w:rsid w:val="00B82943"/>
    <w:rsid w:val="00B8326A"/>
    <w:rsid w:val="00B841B9"/>
    <w:rsid w:val="00B8601D"/>
    <w:rsid w:val="00B8663A"/>
    <w:rsid w:val="00B8731A"/>
    <w:rsid w:val="00B87511"/>
    <w:rsid w:val="00B928CD"/>
    <w:rsid w:val="00B93004"/>
    <w:rsid w:val="00B93937"/>
    <w:rsid w:val="00B94A28"/>
    <w:rsid w:val="00B953D5"/>
    <w:rsid w:val="00B95CB7"/>
    <w:rsid w:val="00B96455"/>
    <w:rsid w:val="00B9750F"/>
    <w:rsid w:val="00B97C23"/>
    <w:rsid w:val="00BA0D50"/>
    <w:rsid w:val="00BA2633"/>
    <w:rsid w:val="00BA346A"/>
    <w:rsid w:val="00BA3B94"/>
    <w:rsid w:val="00BA5C18"/>
    <w:rsid w:val="00BA618C"/>
    <w:rsid w:val="00BA6591"/>
    <w:rsid w:val="00BA66A1"/>
    <w:rsid w:val="00BA6B72"/>
    <w:rsid w:val="00BA736F"/>
    <w:rsid w:val="00BB11F8"/>
    <w:rsid w:val="00BB1616"/>
    <w:rsid w:val="00BB1A01"/>
    <w:rsid w:val="00BB3271"/>
    <w:rsid w:val="00BB32E9"/>
    <w:rsid w:val="00BB479E"/>
    <w:rsid w:val="00BB499B"/>
    <w:rsid w:val="00BB4F84"/>
    <w:rsid w:val="00BB555C"/>
    <w:rsid w:val="00BB683C"/>
    <w:rsid w:val="00BC0B38"/>
    <w:rsid w:val="00BC1134"/>
    <w:rsid w:val="00BC1A72"/>
    <w:rsid w:val="00BC1AEC"/>
    <w:rsid w:val="00BC2882"/>
    <w:rsid w:val="00BC4469"/>
    <w:rsid w:val="00BD04AB"/>
    <w:rsid w:val="00BD07DE"/>
    <w:rsid w:val="00BD3894"/>
    <w:rsid w:val="00BD429F"/>
    <w:rsid w:val="00BD5912"/>
    <w:rsid w:val="00BE0F29"/>
    <w:rsid w:val="00BE141B"/>
    <w:rsid w:val="00BE16D8"/>
    <w:rsid w:val="00BE20CB"/>
    <w:rsid w:val="00BE3ACB"/>
    <w:rsid w:val="00BE3F93"/>
    <w:rsid w:val="00BE5F8B"/>
    <w:rsid w:val="00BE6303"/>
    <w:rsid w:val="00BE6E0C"/>
    <w:rsid w:val="00BF14A4"/>
    <w:rsid w:val="00BF208F"/>
    <w:rsid w:val="00BF2456"/>
    <w:rsid w:val="00BF31AE"/>
    <w:rsid w:val="00BF41B4"/>
    <w:rsid w:val="00BF4317"/>
    <w:rsid w:val="00BF4B54"/>
    <w:rsid w:val="00BF50E2"/>
    <w:rsid w:val="00BF5A44"/>
    <w:rsid w:val="00BF6739"/>
    <w:rsid w:val="00C00741"/>
    <w:rsid w:val="00C00C33"/>
    <w:rsid w:val="00C021FC"/>
    <w:rsid w:val="00C02FB4"/>
    <w:rsid w:val="00C04532"/>
    <w:rsid w:val="00C06436"/>
    <w:rsid w:val="00C06A3B"/>
    <w:rsid w:val="00C13EDA"/>
    <w:rsid w:val="00C14EEB"/>
    <w:rsid w:val="00C162DF"/>
    <w:rsid w:val="00C16AB1"/>
    <w:rsid w:val="00C17359"/>
    <w:rsid w:val="00C2061F"/>
    <w:rsid w:val="00C2364E"/>
    <w:rsid w:val="00C24151"/>
    <w:rsid w:val="00C3007A"/>
    <w:rsid w:val="00C31024"/>
    <w:rsid w:val="00C32120"/>
    <w:rsid w:val="00C32C75"/>
    <w:rsid w:val="00C33D82"/>
    <w:rsid w:val="00C33D8C"/>
    <w:rsid w:val="00C34655"/>
    <w:rsid w:val="00C35616"/>
    <w:rsid w:val="00C36573"/>
    <w:rsid w:val="00C36662"/>
    <w:rsid w:val="00C37050"/>
    <w:rsid w:val="00C378ED"/>
    <w:rsid w:val="00C41FAF"/>
    <w:rsid w:val="00C42DD0"/>
    <w:rsid w:val="00C43AE1"/>
    <w:rsid w:val="00C43CD2"/>
    <w:rsid w:val="00C44E42"/>
    <w:rsid w:val="00C450C0"/>
    <w:rsid w:val="00C45397"/>
    <w:rsid w:val="00C47E7C"/>
    <w:rsid w:val="00C50364"/>
    <w:rsid w:val="00C51A75"/>
    <w:rsid w:val="00C51D51"/>
    <w:rsid w:val="00C51F5D"/>
    <w:rsid w:val="00C523EF"/>
    <w:rsid w:val="00C52C07"/>
    <w:rsid w:val="00C52F64"/>
    <w:rsid w:val="00C54536"/>
    <w:rsid w:val="00C547D3"/>
    <w:rsid w:val="00C548E1"/>
    <w:rsid w:val="00C55509"/>
    <w:rsid w:val="00C5700E"/>
    <w:rsid w:val="00C61067"/>
    <w:rsid w:val="00C61841"/>
    <w:rsid w:val="00C623CF"/>
    <w:rsid w:val="00C62706"/>
    <w:rsid w:val="00C629A4"/>
    <w:rsid w:val="00C6352D"/>
    <w:rsid w:val="00C6455C"/>
    <w:rsid w:val="00C67B5C"/>
    <w:rsid w:val="00C67C39"/>
    <w:rsid w:val="00C709F5"/>
    <w:rsid w:val="00C72948"/>
    <w:rsid w:val="00C7313B"/>
    <w:rsid w:val="00C7375F"/>
    <w:rsid w:val="00C74542"/>
    <w:rsid w:val="00C74D6F"/>
    <w:rsid w:val="00C75031"/>
    <w:rsid w:val="00C75035"/>
    <w:rsid w:val="00C753CC"/>
    <w:rsid w:val="00C7571D"/>
    <w:rsid w:val="00C760F5"/>
    <w:rsid w:val="00C763B5"/>
    <w:rsid w:val="00C779B8"/>
    <w:rsid w:val="00C77BA7"/>
    <w:rsid w:val="00C77D80"/>
    <w:rsid w:val="00C807EF"/>
    <w:rsid w:val="00C80D29"/>
    <w:rsid w:val="00C81BE0"/>
    <w:rsid w:val="00C81E6C"/>
    <w:rsid w:val="00C822C1"/>
    <w:rsid w:val="00C824DF"/>
    <w:rsid w:val="00C83E82"/>
    <w:rsid w:val="00C852FF"/>
    <w:rsid w:val="00C85F36"/>
    <w:rsid w:val="00C86D64"/>
    <w:rsid w:val="00C87323"/>
    <w:rsid w:val="00C924FE"/>
    <w:rsid w:val="00C927E9"/>
    <w:rsid w:val="00C931AE"/>
    <w:rsid w:val="00C93699"/>
    <w:rsid w:val="00C9396D"/>
    <w:rsid w:val="00C93BB5"/>
    <w:rsid w:val="00C957BF"/>
    <w:rsid w:val="00C9663C"/>
    <w:rsid w:val="00C96D5C"/>
    <w:rsid w:val="00C97ADB"/>
    <w:rsid w:val="00CA021A"/>
    <w:rsid w:val="00CA0DBA"/>
    <w:rsid w:val="00CA1092"/>
    <w:rsid w:val="00CA12C2"/>
    <w:rsid w:val="00CA27A0"/>
    <w:rsid w:val="00CA383E"/>
    <w:rsid w:val="00CA3CD2"/>
    <w:rsid w:val="00CA4039"/>
    <w:rsid w:val="00CA431E"/>
    <w:rsid w:val="00CA5814"/>
    <w:rsid w:val="00CA6E8C"/>
    <w:rsid w:val="00CB01D9"/>
    <w:rsid w:val="00CB059C"/>
    <w:rsid w:val="00CB14DA"/>
    <w:rsid w:val="00CB182F"/>
    <w:rsid w:val="00CB19B1"/>
    <w:rsid w:val="00CB40BB"/>
    <w:rsid w:val="00CB4709"/>
    <w:rsid w:val="00CB48E0"/>
    <w:rsid w:val="00CB4C74"/>
    <w:rsid w:val="00CB6856"/>
    <w:rsid w:val="00CB6CE4"/>
    <w:rsid w:val="00CB6E04"/>
    <w:rsid w:val="00CB7567"/>
    <w:rsid w:val="00CB7625"/>
    <w:rsid w:val="00CC0228"/>
    <w:rsid w:val="00CC200C"/>
    <w:rsid w:val="00CC2E38"/>
    <w:rsid w:val="00CC3134"/>
    <w:rsid w:val="00CC5A90"/>
    <w:rsid w:val="00CC5DB1"/>
    <w:rsid w:val="00CD0E32"/>
    <w:rsid w:val="00CD23B3"/>
    <w:rsid w:val="00CD2F4E"/>
    <w:rsid w:val="00CD30D6"/>
    <w:rsid w:val="00CD69D2"/>
    <w:rsid w:val="00CD768D"/>
    <w:rsid w:val="00CE0027"/>
    <w:rsid w:val="00CE2208"/>
    <w:rsid w:val="00CE2266"/>
    <w:rsid w:val="00CE2328"/>
    <w:rsid w:val="00CE2E88"/>
    <w:rsid w:val="00CE4A2F"/>
    <w:rsid w:val="00CE56A0"/>
    <w:rsid w:val="00CE7389"/>
    <w:rsid w:val="00CF316D"/>
    <w:rsid w:val="00CF4F4F"/>
    <w:rsid w:val="00D01E5C"/>
    <w:rsid w:val="00D04D7F"/>
    <w:rsid w:val="00D066ED"/>
    <w:rsid w:val="00D11DCB"/>
    <w:rsid w:val="00D11FD6"/>
    <w:rsid w:val="00D14CF0"/>
    <w:rsid w:val="00D150CD"/>
    <w:rsid w:val="00D15102"/>
    <w:rsid w:val="00D15590"/>
    <w:rsid w:val="00D15718"/>
    <w:rsid w:val="00D15DA0"/>
    <w:rsid w:val="00D16B63"/>
    <w:rsid w:val="00D17135"/>
    <w:rsid w:val="00D2195A"/>
    <w:rsid w:val="00D22E30"/>
    <w:rsid w:val="00D25193"/>
    <w:rsid w:val="00D25B8B"/>
    <w:rsid w:val="00D2610B"/>
    <w:rsid w:val="00D26326"/>
    <w:rsid w:val="00D275E9"/>
    <w:rsid w:val="00D27670"/>
    <w:rsid w:val="00D27DB5"/>
    <w:rsid w:val="00D3022E"/>
    <w:rsid w:val="00D302D3"/>
    <w:rsid w:val="00D30751"/>
    <w:rsid w:val="00D315B1"/>
    <w:rsid w:val="00D33C6B"/>
    <w:rsid w:val="00D347F7"/>
    <w:rsid w:val="00D34952"/>
    <w:rsid w:val="00D35B01"/>
    <w:rsid w:val="00D36339"/>
    <w:rsid w:val="00D3748B"/>
    <w:rsid w:val="00D37D54"/>
    <w:rsid w:val="00D45D52"/>
    <w:rsid w:val="00D50D98"/>
    <w:rsid w:val="00D51AB2"/>
    <w:rsid w:val="00D52E04"/>
    <w:rsid w:val="00D56080"/>
    <w:rsid w:val="00D563E6"/>
    <w:rsid w:val="00D566CF"/>
    <w:rsid w:val="00D56849"/>
    <w:rsid w:val="00D57DED"/>
    <w:rsid w:val="00D57F17"/>
    <w:rsid w:val="00D60A54"/>
    <w:rsid w:val="00D654A2"/>
    <w:rsid w:val="00D6578B"/>
    <w:rsid w:val="00D67531"/>
    <w:rsid w:val="00D70932"/>
    <w:rsid w:val="00D712CD"/>
    <w:rsid w:val="00D7331A"/>
    <w:rsid w:val="00D755D2"/>
    <w:rsid w:val="00D75E23"/>
    <w:rsid w:val="00D76607"/>
    <w:rsid w:val="00D769A6"/>
    <w:rsid w:val="00D76A4B"/>
    <w:rsid w:val="00D76B33"/>
    <w:rsid w:val="00D80871"/>
    <w:rsid w:val="00D821CF"/>
    <w:rsid w:val="00D82A65"/>
    <w:rsid w:val="00D839AB"/>
    <w:rsid w:val="00D83EA3"/>
    <w:rsid w:val="00D83F21"/>
    <w:rsid w:val="00D84DC7"/>
    <w:rsid w:val="00D84FBE"/>
    <w:rsid w:val="00D84FD5"/>
    <w:rsid w:val="00D9005E"/>
    <w:rsid w:val="00D92254"/>
    <w:rsid w:val="00D92667"/>
    <w:rsid w:val="00D932D1"/>
    <w:rsid w:val="00D9510A"/>
    <w:rsid w:val="00D9580F"/>
    <w:rsid w:val="00D95A34"/>
    <w:rsid w:val="00D96C5A"/>
    <w:rsid w:val="00D971AE"/>
    <w:rsid w:val="00DA03EC"/>
    <w:rsid w:val="00DA094C"/>
    <w:rsid w:val="00DA3FAE"/>
    <w:rsid w:val="00DA41BF"/>
    <w:rsid w:val="00DA43CF"/>
    <w:rsid w:val="00DA4DE1"/>
    <w:rsid w:val="00DA5EA9"/>
    <w:rsid w:val="00DA606A"/>
    <w:rsid w:val="00DA62C1"/>
    <w:rsid w:val="00DA6EE9"/>
    <w:rsid w:val="00DB3428"/>
    <w:rsid w:val="00DB531D"/>
    <w:rsid w:val="00DB6475"/>
    <w:rsid w:val="00DB66E1"/>
    <w:rsid w:val="00DC20F0"/>
    <w:rsid w:val="00DC3F80"/>
    <w:rsid w:val="00DC4979"/>
    <w:rsid w:val="00DC5A67"/>
    <w:rsid w:val="00DC62AA"/>
    <w:rsid w:val="00DC6E71"/>
    <w:rsid w:val="00DC7B7E"/>
    <w:rsid w:val="00DD01BA"/>
    <w:rsid w:val="00DD0B73"/>
    <w:rsid w:val="00DD1605"/>
    <w:rsid w:val="00DD2C8A"/>
    <w:rsid w:val="00DD2C8F"/>
    <w:rsid w:val="00DD4026"/>
    <w:rsid w:val="00DD4057"/>
    <w:rsid w:val="00DD4323"/>
    <w:rsid w:val="00DD4D53"/>
    <w:rsid w:val="00DD58BC"/>
    <w:rsid w:val="00DD6453"/>
    <w:rsid w:val="00DD70CD"/>
    <w:rsid w:val="00DD7351"/>
    <w:rsid w:val="00DE16AE"/>
    <w:rsid w:val="00DE1E2F"/>
    <w:rsid w:val="00DE2884"/>
    <w:rsid w:val="00DE44E2"/>
    <w:rsid w:val="00DE44E3"/>
    <w:rsid w:val="00DE50EA"/>
    <w:rsid w:val="00DE65B1"/>
    <w:rsid w:val="00DE686B"/>
    <w:rsid w:val="00DF017B"/>
    <w:rsid w:val="00DF0AF8"/>
    <w:rsid w:val="00DF0DBF"/>
    <w:rsid w:val="00DF1898"/>
    <w:rsid w:val="00DF1CF3"/>
    <w:rsid w:val="00DF31EE"/>
    <w:rsid w:val="00DF38C2"/>
    <w:rsid w:val="00DF3EEA"/>
    <w:rsid w:val="00DF3F3E"/>
    <w:rsid w:val="00DF4DA4"/>
    <w:rsid w:val="00DF4E40"/>
    <w:rsid w:val="00DF5196"/>
    <w:rsid w:val="00DF5492"/>
    <w:rsid w:val="00DF61CB"/>
    <w:rsid w:val="00DF7AAB"/>
    <w:rsid w:val="00E01B47"/>
    <w:rsid w:val="00E02CCE"/>
    <w:rsid w:val="00E03880"/>
    <w:rsid w:val="00E04135"/>
    <w:rsid w:val="00E0419C"/>
    <w:rsid w:val="00E0657B"/>
    <w:rsid w:val="00E070B0"/>
    <w:rsid w:val="00E0726B"/>
    <w:rsid w:val="00E07B24"/>
    <w:rsid w:val="00E10064"/>
    <w:rsid w:val="00E121DF"/>
    <w:rsid w:val="00E1293F"/>
    <w:rsid w:val="00E13B6D"/>
    <w:rsid w:val="00E14159"/>
    <w:rsid w:val="00E14306"/>
    <w:rsid w:val="00E16F17"/>
    <w:rsid w:val="00E1749F"/>
    <w:rsid w:val="00E20DD5"/>
    <w:rsid w:val="00E21BCD"/>
    <w:rsid w:val="00E21DB1"/>
    <w:rsid w:val="00E22474"/>
    <w:rsid w:val="00E22840"/>
    <w:rsid w:val="00E22BE0"/>
    <w:rsid w:val="00E23891"/>
    <w:rsid w:val="00E250F0"/>
    <w:rsid w:val="00E25EA2"/>
    <w:rsid w:val="00E279C1"/>
    <w:rsid w:val="00E3168B"/>
    <w:rsid w:val="00E31793"/>
    <w:rsid w:val="00E3186D"/>
    <w:rsid w:val="00E32BFA"/>
    <w:rsid w:val="00E32F6B"/>
    <w:rsid w:val="00E34205"/>
    <w:rsid w:val="00E3482B"/>
    <w:rsid w:val="00E34D58"/>
    <w:rsid w:val="00E352CA"/>
    <w:rsid w:val="00E362EC"/>
    <w:rsid w:val="00E37EF7"/>
    <w:rsid w:val="00E40C12"/>
    <w:rsid w:val="00E417AE"/>
    <w:rsid w:val="00E42B47"/>
    <w:rsid w:val="00E43478"/>
    <w:rsid w:val="00E46826"/>
    <w:rsid w:val="00E46DF7"/>
    <w:rsid w:val="00E473BF"/>
    <w:rsid w:val="00E503E0"/>
    <w:rsid w:val="00E51149"/>
    <w:rsid w:val="00E5139A"/>
    <w:rsid w:val="00E5156A"/>
    <w:rsid w:val="00E5200B"/>
    <w:rsid w:val="00E521F8"/>
    <w:rsid w:val="00E5272D"/>
    <w:rsid w:val="00E539AD"/>
    <w:rsid w:val="00E5400C"/>
    <w:rsid w:val="00E5470C"/>
    <w:rsid w:val="00E54EBC"/>
    <w:rsid w:val="00E55907"/>
    <w:rsid w:val="00E566C3"/>
    <w:rsid w:val="00E60299"/>
    <w:rsid w:val="00E61C6A"/>
    <w:rsid w:val="00E61E44"/>
    <w:rsid w:val="00E61FC4"/>
    <w:rsid w:val="00E621ED"/>
    <w:rsid w:val="00E6252D"/>
    <w:rsid w:val="00E62691"/>
    <w:rsid w:val="00E63BA9"/>
    <w:rsid w:val="00E65799"/>
    <w:rsid w:val="00E65D39"/>
    <w:rsid w:val="00E65E41"/>
    <w:rsid w:val="00E6698A"/>
    <w:rsid w:val="00E66D9E"/>
    <w:rsid w:val="00E67C7E"/>
    <w:rsid w:val="00E7132E"/>
    <w:rsid w:val="00E71B30"/>
    <w:rsid w:val="00E7224D"/>
    <w:rsid w:val="00E73ACB"/>
    <w:rsid w:val="00E73D64"/>
    <w:rsid w:val="00E7496E"/>
    <w:rsid w:val="00E749E7"/>
    <w:rsid w:val="00E75B14"/>
    <w:rsid w:val="00E75BE3"/>
    <w:rsid w:val="00E75DA0"/>
    <w:rsid w:val="00E8083E"/>
    <w:rsid w:val="00E80A0F"/>
    <w:rsid w:val="00E80BC6"/>
    <w:rsid w:val="00E80EA4"/>
    <w:rsid w:val="00E8358A"/>
    <w:rsid w:val="00E85B27"/>
    <w:rsid w:val="00E86CF5"/>
    <w:rsid w:val="00E8740B"/>
    <w:rsid w:val="00E8743E"/>
    <w:rsid w:val="00E876DC"/>
    <w:rsid w:val="00E94589"/>
    <w:rsid w:val="00E951E7"/>
    <w:rsid w:val="00E96CE1"/>
    <w:rsid w:val="00E9733F"/>
    <w:rsid w:val="00EA0F93"/>
    <w:rsid w:val="00EA1785"/>
    <w:rsid w:val="00EA4517"/>
    <w:rsid w:val="00EA76DF"/>
    <w:rsid w:val="00EB0270"/>
    <w:rsid w:val="00EB14EA"/>
    <w:rsid w:val="00EB22E1"/>
    <w:rsid w:val="00EB22E5"/>
    <w:rsid w:val="00EB277A"/>
    <w:rsid w:val="00EB3BA4"/>
    <w:rsid w:val="00EB6004"/>
    <w:rsid w:val="00EC269A"/>
    <w:rsid w:val="00EC26E1"/>
    <w:rsid w:val="00EC2B7B"/>
    <w:rsid w:val="00EC4397"/>
    <w:rsid w:val="00EC4C9A"/>
    <w:rsid w:val="00EC4F63"/>
    <w:rsid w:val="00EC61AB"/>
    <w:rsid w:val="00EC635E"/>
    <w:rsid w:val="00EC64DA"/>
    <w:rsid w:val="00ED11B6"/>
    <w:rsid w:val="00ED18A8"/>
    <w:rsid w:val="00ED208B"/>
    <w:rsid w:val="00ED24CC"/>
    <w:rsid w:val="00ED2512"/>
    <w:rsid w:val="00ED3570"/>
    <w:rsid w:val="00ED47D6"/>
    <w:rsid w:val="00ED4922"/>
    <w:rsid w:val="00ED4EF1"/>
    <w:rsid w:val="00ED4FBA"/>
    <w:rsid w:val="00ED5087"/>
    <w:rsid w:val="00ED5401"/>
    <w:rsid w:val="00ED558A"/>
    <w:rsid w:val="00ED55A4"/>
    <w:rsid w:val="00ED58DB"/>
    <w:rsid w:val="00ED7DEC"/>
    <w:rsid w:val="00EE0025"/>
    <w:rsid w:val="00EE0B8F"/>
    <w:rsid w:val="00EE0BCD"/>
    <w:rsid w:val="00EE1362"/>
    <w:rsid w:val="00EE1BF1"/>
    <w:rsid w:val="00EE27E2"/>
    <w:rsid w:val="00EE2E30"/>
    <w:rsid w:val="00EE3BF9"/>
    <w:rsid w:val="00EE53BD"/>
    <w:rsid w:val="00EE6234"/>
    <w:rsid w:val="00EE7921"/>
    <w:rsid w:val="00EF02FC"/>
    <w:rsid w:val="00EF079C"/>
    <w:rsid w:val="00EF0824"/>
    <w:rsid w:val="00EF161B"/>
    <w:rsid w:val="00EF2386"/>
    <w:rsid w:val="00EF29AE"/>
    <w:rsid w:val="00EF45D2"/>
    <w:rsid w:val="00EF5AE3"/>
    <w:rsid w:val="00EF69AB"/>
    <w:rsid w:val="00EF69CA"/>
    <w:rsid w:val="00EF69EF"/>
    <w:rsid w:val="00EF6E61"/>
    <w:rsid w:val="00EF6FB6"/>
    <w:rsid w:val="00EF7DA7"/>
    <w:rsid w:val="00EF7F52"/>
    <w:rsid w:val="00EF7F57"/>
    <w:rsid w:val="00F022AC"/>
    <w:rsid w:val="00F0267E"/>
    <w:rsid w:val="00F02B82"/>
    <w:rsid w:val="00F03512"/>
    <w:rsid w:val="00F037A1"/>
    <w:rsid w:val="00F03BB9"/>
    <w:rsid w:val="00F04FDF"/>
    <w:rsid w:val="00F05AA7"/>
    <w:rsid w:val="00F05FE6"/>
    <w:rsid w:val="00F0611B"/>
    <w:rsid w:val="00F06BFD"/>
    <w:rsid w:val="00F06C6B"/>
    <w:rsid w:val="00F1013C"/>
    <w:rsid w:val="00F12524"/>
    <w:rsid w:val="00F134CA"/>
    <w:rsid w:val="00F139D3"/>
    <w:rsid w:val="00F14BDA"/>
    <w:rsid w:val="00F15954"/>
    <w:rsid w:val="00F1652D"/>
    <w:rsid w:val="00F165A0"/>
    <w:rsid w:val="00F17A63"/>
    <w:rsid w:val="00F17B36"/>
    <w:rsid w:val="00F17BA1"/>
    <w:rsid w:val="00F20AD5"/>
    <w:rsid w:val="00F20CCE"/>
    <w:rsid w:val="00F20D54"/>
    <w:rsid w:val="00F21889"/>
    <w:rsid w:val="00F2238A"/>
    <w:rsid w:val="00F22C36"/>
    <w:rsid w:val="00F22CAC"/>
    <w:rsid w:val="00F23D76"/>
    <w:rsid w:val="00F24A6D"/>
    <w:rsid w:val="00F2667A"/>
    <w:rsid w:val="00F26B21"/>
    <w:rsid w:val="00F26DF8"/>
    <w:rsid w:val="00F3201C"/>
    <w:rsid w:val="00F32A77"/>
    <w:rsid w:val="00F3307B"/>
    <w:rsid w:val="00F3342B"/>
    <w:rsid w:val="00F33662"/>
    <w:rsid w:val="00F35095"/>
    <w:rsid w:val="00F366E7"/>
    <w:rsid w:val="00F36F24"/>
    <w:rsid w:val="00F378AB"/>
    <w:rsid w:val="00F37F59"/>
    <w:rsid w:val="00F415CA"/>
    <w:rsid w:val="00F42249"/>
    <w:rsid w:val="00F4286E"/>
    <w:rsid w:val="00F43611"/>
    <w:rsid w:val="00F451EF"/>
    <w:rsid w:val="00F4763B"/>
    <w:rsid w:val="00F50043"/>
    <w:rsid w:val="00F505F7"/>
    <w:rsid w:val="00F50EA6"/>
    <w:rsid w:val="00F52DDF"/>
    <w:rsid w:val="00F545B8"/>
    <w:rsid w:val="00F54C99"/>
    <w:rsid w:val="00F557F8"/>
    <w:rsid w:val="00F55AC2"/>
    <w:rsid w:val="00F56ADF"/>
    <w:rsid w:val="00F570F8"/>
    <w:rsid w:val="00F60011"/>
    <w:rsid w:val="00F60213"/>
    <w:rsid w:val="00F60794"/>
    <w:rsid w:val="00F60D80"/>
    <w:rsid w:val="00F61764"/>
    <w:rsid w:val="00F61819"/>
    <w:rsid w:val="00F63735"/>
    <w:rsid w:val="00F63997"/>
    <w:rsid w:val="00F63AF5"/>
    <w:rsid w:val="00F6437B"/>
    <w:rsid w:val="00F653DE"/>
    <w:rsid w:val="00F66291"/>
    <w:rsid w:val="00F67A05"/>
    <w:rsid w:val="00F67F4D"/>
    <w:rsid w:val="00F70E1D"/>
    <w:rsid w:val="00F70F42"/>
    <w:rsid w:val="00F72F0A"/>
    <w:rsid w:val="00F7348B"/>
    <w:rsid w:val="00F74060"/>
    <w:rsid w:val="00F741A6"/>
    <w:rsid w:val="00F75DDB"/>
    <w:rsid w:val="00F7613C"/>
    <w:rsid w:val="00F76F52"/>
    <w:rsid w:val="00F77DDC"/>
    <w:rsid w:val="00F801B1"/>
    <w:rsid w:val="00F816C3"/>
    <w:rsid w:val="00F81B9B"/>
    <w:rsid w:val="00F81D4A"/>
    <w:rsid w:val="00F82306"/>
    <w:rsid w:val="00F831E3"/>
    <w:rsid w:val="00F849ED"/>
    <w:rsid w:val="00F85200"/>
    <w:rsid w:val="00F86411"/>
    <w:rsid w:val="00F91742"/>
    <w:rsid w:val="00F92536"/>
    <w:rsid w:val="00F93E04"/>
    <w:rsid w:val="00F93E06"/>
    <w:rsid w:val="00F95314"/>
    <w:rsid w:val="00F95849"/>
    <w:rsid w:val="00F96138"/>
    <w:rsid w:val="00F97780"/>
    <w:rsid w:val="00FA0275"/>
    <w:rsid w:val="00FA0438"/>
    <w:rsid w:val="00FA0505"/>
    <w:rsid w:val="00FA0615"/>
    <w:rsid w:val="00FA2120"/>
    <w:rsid w:val="00FA2A3F"/>
    <w:rsid w:val="00FA42AC"/>
    <w:rsid w:val="00FA49D6"/>
    <w:rsid w:val="00FA5AD9"/>
    <w:rsid w:val="00FA5F6E"/>
    <w:rsid w:val="00FA7B02"/>
    <w:rsid w:val="00FB1276"/>
    <w:rsid w:val="00FB1364"/>
    <w:rsid w:val="00FB151C"/>
    <w:rsid w:val="00FB1538"/>
    <w:rsid w:val="00FB206C"/>
    <w:rsid w:val="00FB2466"/>
    <w:rsid w:val="00FB3D70"/>
    <w:rsid w:val="00FB4825"/>
    <w:rsid w:val="00FB5339"/>
    <w:rsid w:val="00FB634E"/>
    <w:rsid w:val="00FB6564"/>
    <w:rsid w:val="00FB668E"/>
    <w:rsid w:val="00FB74DC"/>
    <w:rsid w:val="00FC007E"/>
    <w:rsid w:val="00FC0540"/>
    <w:rsid w:val="00FC1844"/>
    <w:rsid w:val="00FC2C10"/>
    <w:rsid w:val="00FC2FF1"/>
    <w:rsid w:val="00FC31AF"/>
    <w:rsid w:val="00FC6DBB"/>
    <w:rsid w:val="00FC7895"/>
    <w:rsid w:val="00FD0673"/>
    <w:rsid w:val="00FD2E5D"/>
    <w:rsid w:val="00FD3554"/>
    <w:rsid w:val="00FD38E7"/>
    <w:rsid w:val="00FD3DFB"/>
    <w:rsid w:val="00FD4680"/>
    <w:rsid w:val="00FD5F16"/>
    <w:rsid w:val="00FD6588"/>
    <w:rsid w:val="00FD7F68"/>
    <w:rsid w:val="00FE0B5B"/>
    <w:rsid w:val="00FE1385"/>
    <w:rsid w:val="00FE3150"/>
    <w:rsid w:val="00FE3247"/>
    <w:rsid w:val="00FE34F5"/>
    <w:rsid w:val="00FE4452"/>
    <w:rsid w:val="00FE6900"/>
    <w:rsid w:val="00FE6BFC"/>
    <w:rsid w:val="00FE6FE5"/>
    <w:rsid w:val="00FE70CC"/>
    <w:rsid w:val="00FE78B8"/>
    <w:rsid w:val="00FF28F1"/>
    <w:rsid w:val="00FF3944"/>
    <w:rsid w:val="00FF3E66"/>
    <w:rsid w:val="00FF418B"/>
    <w:rsid w:val="00FF57BA"/>
    <w:rsid w:val="00FF6B9E"/>
    <w:rsid w:val="00FF6C20"/>
    <w:rsid w:val="00FF7467"/>
    <w:rsid w:val="00FF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035D71"/>
  <w15:docId w15:val="{144F452E-07D8-41C8-9FAD-875B9345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rFonts w:ascii="Times New Roman" w:hAnsi="Times New Roman"/>
      <w:sz w:val="24"/>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536"/>
        <w:tab w:val="right" w:pos="9072"/>
      </w:tabs>
    </w:pPr>
  </w:style>
  <w:style w:type="character" w:styleId="Numeropagina">
    <w:name w:val="page number"/>
    <w:basedOn w:val="Carpredefinitoparagrafo"/>
  </w:style>
  <w:style w:type="paragraph" w:styleId="Rientrocorpodeltesto">
    <w:name w:val="Body Text Indent"/>
    <w:basedOn w:val="Normale"/>
    <w:pPr>
      <w:ind w:left="426" w:hanging="426"/>
    </w:pPr>
  </w:style>
  <w:style w:type="paragraph" w:styleId="Corpotesto">
    <w:name w:val="Body Text"/>
    <w:basedOn w:val="Normale"/>
    <w:pPr>
      <w:ind w:right="38"/>
    </w:pPr>
  </w:style>
  <w:style w:type="paragraph" w:styleId="Rientrocorpodeltesto2">
    <w:name w:val="Body Text Indent 2"/>
    <w:basedOn w:val="Normale"/>
    <w:pPr>
      <w:ind w:right="38" w:firstLine="567"/>
    </w:pPr>
  </w:style>
  <w:style w:type="paragraph" w:styleId="Corpodeltesto2">
    <w:name w:val="Body Text 2"/>
    <w:basedOn w:val="Normale"/>
    <w:pPr>
      <w:ind w:right="38"/>
    </w:pPr>
  </w:style>
  <w:style w:type="paragraph" w:styleId="Testodelblocco">
    <w:name w:val="Block Text"/>
    <w:basedOn w:val="Normale"/>
    <w:pPr>
      <w:ind w:left="851" w:right="38" w:hanging="425"/>
    </w:pPr>
  </w:style>
  <w:style w:type="paragraph" w:styleId="Rientrocorpodeltesto3">
    <w:name w:val="Body Text Indent 3"/>
    <w:basedOn w:val="Normale"/>
    <w:pPr>
      <w:ind w:left="426"/>
    </w:pPr>
  </w:style>
  <w:style w:type="paragraph" w:styleId="Corpodeltesto3">
    <w:name w:val="Body Text 3"/>
    <w:basedOn w:val="Normale"/>
    <w:pPr>
      <w:ind w:right="-22"/>
      <w:jc w:val="center"/>
    </w:pPr>
  </w:style>
  <w:style w:type="paragraph" w:styleId="NormaleWeb">
    <w:name w:val="Normal (Web)"/>
    <w:basedOn w:val="Normale"/>
    <w:uiPriority w:val="99"/>
    <w:rPr>
      <w:rFonts w:eastAsia="Arial Unicode MS" w:cs="Arial Unicode MS"/>
      <w:szCs w:val="24"/>
    </w:rPr>
  </w:style>
  <w:style w:type="paragraph" w:customStyle="1" w:styleId="Entte">
    <w:name w:val="En tête"/>
    <w:basedOn w:val="Testodelblocco"/>
    <w:pPr>
      <w:ind w:left="567" w:hanging="567"/>
    </w:pPr>
  </w:style>
  <w:style w:type="paragraph" w:styleId="Intestazione">
    <w:name w:val="header"/>
    <w:basedOn w:val="Normale"/>
    <w:pPr>
      <w:tabs>
        <w:tab w:val="center" w:pos="4153"/>
        <w:tab w:val="right" w:pos="8306"/>
      </w:tabs>
    </w:pPr>
  </w:style>
  <w:style w:type="paragraph" w:customStyle="1" w:styleId="titrearticle">
    <w:name w:val="titre article"/>
    <w:basedOn w:val="Pidipagina"/>
    <w:pPr>
      <w:tabs>
        <w:tab w:val="clear" w:pos="4536"/>
        <w:tab w:val="clear" w:pos="9072"/>
      </w:tabs>
      <w:spacing w:line="360" w:lineRule="auto"/>
      <w:jc w:val="center"/>
    </w:pPr>
  </w:style>
  <w:style w:type="table" w:styleId="Grigliatabella">
    <w:name w:val="Table Grid"/>
    <w:basedOn w:val="Tabellanormale"/>
    <w:rsid w:val="0006527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9D54E0"/>
    <w:rPr>
      <w:i/>
      <w:iCs/>
    </w:rPr>
  </w:style>
  <w:style w:type="character" w:customStyle="1" w:styleId="titleblue1">
    <w:name w:val="titleblue1"/>
    <w:rsid w:val="007D6B5A"/>
    <w:rPr>
      <w:b/>
      <w:bCs/>
      <w:color w:val="003399"/>
      <w:sz w:val="20"/>
      <w:szCs w:val="20"/>
    </w:rPr>
  </w:style>
  <w:style w:type="paragraph" w:styleId="Testofumetto">
    <w:name w:val="Balloon Text"/>
    <w:basedOn w:val="Normale"/>
    <w:semiHidden/>
    <w:rsid w:val="007E31F3"/>
    <w:rPr>
      <w:rFonts w:ascii="Tahoma" w:hAnsi="Tahoma" w:cs="Tahoma"/>
      <w:sz w:val="16"/>
      <w:szCs w:val="16"/>
    </w:rPr>
  </w:style>
  <w:style w:type="character" w:customStyle="1" w:styleId="apple-converted-space">
    <w:name w:val="apple-converted-space"/>
    <w:rsid w:val="006A63BE"/>
  </w:style>
  <w:style w:type="character" w:styleId="Collegamentoipertestuale">
    <w:name w:val="Hyperlink"/>
    <w:uiPriority w:val="99"/>
    <w:unhideWhenUsed/>
    <w:rsid w:val="006A63BE"/>
    <w:rPr>
      <w:color w:val="0000FF"/>
      <w:u w:val="single"/>
    </w:rPr>
  </w:style>
  <w:style w:type="paragraph" w:styleId="Testonotaapidipagina">
    <w:name w:val="footnote text"/>
    <w:basedOn w:val="Normale"/>
    <w:link w:val="TestonotaapidipaginaCarattere"/>
    <w:rsid w:val="00CA6E8C"/>
    <w:rPr>
      <w:sz w:val="20"/>
    </w:rPr>
  </w:style>
  <w:style w:type="character" w:customStyle="1" w:styleId="TestonotaapidipaginaCarattere">
    <w:name w:val="Testo nota a piè di pagina Carattere"/>
    <w:link w:val="Testonotaapidipagina"/>
    <w:rsid w:val="00CA6E8C"/>
    <w:rPr>
      <w:rFonts w:ascii="Times New Roman" w:hAnsi="Times New Roman"/>
      <w:lang w:val="fr-FR" w:eastAsia="en-US"/>
    </w:rPr>
  </w:style>
  <w:style w:type="character" w:styleId="Rimandonotaapidipagina">
    <w:name w:val="footnote reference"/>
    <w:rsid w:val="00CA6E8C"/>
    <w:rPr>
      <w:vertAlign w:val="superscript"/>
    </w:rPr>
  </w:style>
  <w:style w:type="character" w:customStyle="1" w:styleId="PidipaginaCarattere">
    <w:name w:val="Piè di pagina Carattere"/>
    <w:link w:val="Pidipagina"/>
    <w:uiPriority w:val="99"/>
    <w:rsid w:val="00E71B30"/>
    <w:rPr>
      <w:rFonts w:ascii="Times New Roman" w:hAnsi="Times New Roman"/>
      <w:sz w:val="24"/>
      <w:lang w:val="fr-FR" w:eastAsia="en-US"/>
    </w:rPr>
  </w:style>
  <w:style w:type="paragraph" w:styleId="Paragrafoelenco">
    <w:name w:val="List Paragraph"/>
    <w:basedOn w:val="Normale"/>
    <w:uiPriority w:val="34"/>
    <w:qFormat/>
    <w:rsid w:val="00682CF2"/>
    <w:pPr>
      <w:ind w:left="720"/>
      <w:contextualSpacing/>
    </w:pPr>
  </w:style>
  <w:style w:type="paragraph" w:customStyle="1" w:styleId="Default">
    <w:name w:val="Default"/>
    <w:rsid w:val="001027B2"/>
    <w:pPr>
      <w:autoSpaceDE w:val="0"/>
      <w:autoSpaceDN w:val="0"/>
      <w:adjustRightInd w:val="0"/>
    </w:pPr>
    <w:rPr>
      <w:rFonts w:ascii="Times New Roman" w:hAnsi="Times New Roman"/>
      <w:color w:val="000000"/>
      <w:sz w:val="24"/>
      <w:szCs w:val="24"/>
    </w:rPr>
  </w:style>
  <w:style w:type="character" w:styleId="Collegamentovisitato">
    <w:name w:val="FollowedHyperlink"/>
    <w:basedOn w:val="Carpredefinitoparagrafo"/>
    <w:rsid w:val="001F43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942">
      <w:bodyDiv w:val="1"/>
      <w:marLeft w:val="0"/>
      <w:marRight w:val="0"/>
      <w:marTop w:val="0"/>
      <w:marBottom w:val="0"/>
      <w:divBdr>
        <w:top w:val="none" w:sz="0" w:space="0" w:color="auto"/>
        <w:left w:val="none" w:sz="0" w:space="0" w:color="auto"/>
        <w:bottom w:val="none" w:sz="0" w:space="0" w:color="auto"/>
        <w:right w:val="none" w:sz="0" w:space="0" w:color="auto"/>
      </w:divBdr>
    </w:div>
    <w:div w:id="141433344">
      <w:bodyDiv w:val="1"/>
      <w:marLeft w:val="0"/>
      <w:marRight w:val="0"/>
      <w:marTop w:val="0"/>
      <w:marBottom w:val="0"/>
      <w:divBdr>
        <w:top w:val="none" w:sz="0" w:space="0" w:color="auto"/>
        <w:left w:val="none" w:sz="0" w:space="0" w:color="auto"/>
        <w:bottom w:val="none" w:sz="0" w:space="0" w:color="auto"/>
        <w:right w:val="none" w:sz="0" w:space="0" w:color="auto"/>
      </w:divBdr>
    </w:div>
    <w:div w:id="355734048">
      <w:bodyDiv w:val="1"/>
      <w:marLeft w:val="0"/>
      <w:marRight w:val="0"/>
      <w:marTop w:val="0"/>
      <w:marBottom w:val="0"/>
      <w:divBdr>
        <w:top w:val="none" w:sz="0" w:space="0" w:color="auto"/>
        <w:left w:val="none" w:sz="0" w:space="0" w:color="auto"/>
        <w:bottom w:val="none" w:sz="0" w:space="0" w:color="auto"/>
        <w:right w:val="none" w:sz="0" w:space="0" w:color="auto"/>
      </w:divBdr>
    </w:div>
    <w:div w:id="493108516">
      <w:bodyDiv w:val="1"/>
      <w:marLeft w:val="0"/>
      <w:marRight w:val="0"/>
      <w:marTop w:val="0"/>
      <w:marBottom w:val="0"/>
      <w:divBdr>
        <w:top w:val="none" w:sz="0" w:space="0" w:color="auto"/>
        <w:left w:val="none" w:sz="0" w:space="0" w:color="auto"/>
        <w:bottom w:val="none" w:sz="0" w:space="0" w:color="auto"/>
        <w:right w:val="none" w:sz="0" w:space="0" w:color="auto"/>
      </w:divBdr>
    </w:div>
    <w:div w:id="496767457">
      <w:bodyDiv w:val="1"/>
      <w:marLeft w:val="0"/>
      <w:marRight w:val="0"/>
      <w:marTop w:val="0"/>
      <w:marBottom w:val="0"/>
      <w:divBdr>
        <w:top w:val="none" w:sz="0" w:space="0" w:color="auto"/>
        <w:left w:val="none" w:sz="0" w:space="0" w:color="auto"/>
        <w:bottom w:val="none" w:sz="0" w:space="0" w:color="auto"/>
        <w:right w:val="none" w:sz="0" w:space="0" w:color="auto"/>
      </w:divBdr>
    </w:div>
    <w:div w:id="506095523">
      <w:bodyDiv w:val="1"/>
      <w:marLeft w:val="0"/>
      <w:marRight w:val="0"/>
      <w:marTop w:val="0"/>
      <w:marBottom w:val="0"/>
      <w:divBdr>
        <w:top w:val="none" w:sz="0" w:space="0" w:color="auto"/>
        <w:left w:val="none" w:sz="0" w:space="0" w:color="auto"/>
        <w:bottom w:val="none" w:sz="0" w:space="0" w:color="auto"/>
        <w:right w:val="none" w:sz="0" w:space="0" w:color="auto"/>
      </w:divBdr>
    </w:div>
    <w:div w:id="515121239">
      <w:bodyDiv w:val="1"/>
      <w:marLeft w:val="0"/>
      <w:marRight w:val="0"/>
      <w:marTop w:val="0"/>
      <w:marBottom w:val="0"/>
      <w:divBdr>
        <w:top w:val="none" w:sz="0" w:space="0" w:color="auto"/>
        <w:left w:val="none" w:sz="0" w:space="0" w:color="auto"/>
        <w:bottom w:val="none" w:sz="0" w:space="0" w:color="auto"/>
        <w:right w:val="none" w:sz="0" w:space="0" w:color="auto"/>
      </w:divBdr>
    </w:div>
    <w:div w:id="555435388">
      <w:bodyDiv w:val="1"/>
      <w:marLeft w:val="0"/>
      <w:marRight w:val="0"/>
      <w:marTop w:val="0"/>
      <w:marBottom w:val="0"/>
      <w:divBdr>
        <w:top w:val="none" w:sz="0" w:space="0" w:color="auto"/>
        <w:left w:val="none" w:sz="0" w:space="0" w:color="auto"/>
        <w:bottom w:val="none" w:sz="0" w:space="0" w:color="auto"/>
        <w:right w:val="none" w:sz="0" w:space="0" w:color="auto"/>
      </w:divBdr>
    </w:div>
    <w:div w:id="638800176">
      <w:bodyDiv w:val="1"/>
      <w:marLeft w:val="0"/>
      <w:marRight w:val="0"/>
      <w:marTop w:val="0"/>
      <w:marBottom w:val="0"/>
      <w:divBdr>
        <w:top w:val="none" w:sz="0" w:space="0" w:color="auto"/>
        <w:left w:val="none" w:sz="0" w:space="0" w:color="auto"/>
        <w:bottom w:val="none" w:sz="0" w:space="0" w:color="auto"/>
        <w:right w:val="none" w:sz="0" w:space="0" w:color="auto"/>
      </w:divBdr>
    </w:div>
    <w:div w:id="731924150">
      <w:bodyDiv w:val="1"/>
      <w:marLeft w:val="0"/>
      <w:marRight w:val="0"/>
      <w:marTop w:val="0"/>
      <w:marBottom w:val="0"/>
      <w:divBdr>
        <w:top w:val="none" w:sz="0" w:space="0" w:color="auto"/>
        <w:left w:val="none" w:sz="0" w:space="0" w:color="auto"/>
        <w:bottom w:val="none" w:sz="0" w:space="0" w:color="auto"/>
        <w:right w:val="none" w:sz="0" w:space="0" w:color="auto"/>
      </w:divBdr>
    </w:div>
    <w:div w:id="809442379">
      <w:bodyDiv w:val="1"/>
      <w:marLeft w:val="0"/>
      <w:marRight w:val="0"/>
      <w:marTop w:val="0"/>
      <w:marBottom w:val="0"/>
      <w:divBdr>
        <w:top w:val="none" w:sz="0" w:space="0" w:color="auto"/>
        <w:left w:val="none" w:sz="0" w:space="0" w:color="auto"/>
        <w:bottom w:val="none" w:sz="0" w:space="0" w:color="auto"/>
        <w:right w:val="none" w:sz="0" w:space="0" w:color="auto"/>
      </w:divBdr>
    </w:div>
    <w:div w:id="957762280">
      <w:bodyDiv w:val="1"/>
      <w:marLeft w:val="0"/>
      <w:marRight w:val="0"/>
      <w:marTop w:val="0"/>
      <w:marBottom w:val="0"/>
      <w:divBdr>
        <w:top w:val="none" w:sz="0" w:space="0" w:color="auto"/>
        <w:left w:val="none" w:sz="0" w:space="0" w:color="auto"/>
        <w:bottom w:val="none" w:sz="0" w:space="0" w:color="auto"/>
        <w:right w:val="none" w:sz="0" w:space="0" w:color="auto"/>
      </w:divBdr>
    </w:div>
    <w:div w:id="1077826014">
      <w:bodyDiv w:val="1"/>
      <w:marLeft w:val="0"/>
      <w:marRight w:val="0"/>
      <w:marTop w:val="0"/>
      <w:marBottom w:val="0"/>
      <w:divBdr>
        <w:top w:val="none" w:sz="0" w:space="0" w:color="auto"/>
        <w:left w:val="none" w:sz="0" w:space="0" w:color="auto"/>
        <w:bottom w:val="none" w:sz="0" w:space="0" w:color="auto"/>
        <w:right w:val="none" w:sz="0" w:space="0" w:color="auto"/>
      </w:divBdr>
      <w:divsChild>
        <w:div w:id="2021003383">
          <w:marLeft w:val="0"/>
          <w:marRight w:val="0"/>
          <w:marTop w:val="0"/>
          <w:marBottom w:val="0"/>
          <w:divBdr>
            <w:top w:val="none" w:sz="0" w:space="0" w:color="auto"/>
            <w:left w:val="none" w:sz="0" w:space="0" w:color="auto"/>
            <w:bottom w:val="none" w:sz="0" w:space="0" w:color="auto"/>
            <w:right w:val="none" w:sz="0" w:space="0" w:color="auto"/>
          </w:divBdr>
          <w:divsChild>
            <w:div w:id="506481995">
              <w:marLeft w:val="0"/>
              <w:marRight w:val="0"/>
              <w:marTop w:val="0"/>
              <w:marBottom w:val="0"/>
              <w:divBdr>
                <w:top w:val="none" w:sz="0" w:space="0" w:color="auto"/>
                <w:left w:val="none" w:sz="0" w:space="0" w:color="auto"/>
                <w:bottom w:val="none" w:sz="0" w:space="0" w:color="auto"/>
                <w:right w:val="none" w:sz="0" w:space="0" w:color="auto"/>
              </w:divBdr>
            </w:div>
            <w:div w:id="1276866704">
              <w:marLeft w:val="0"/>
              <w:marRight w:val="0"/>
              <w:marTop w:val="0"/>
              <w:marBottom w:val="0"/>
              <w:divBdr>
                <w:top w:val="none" w:sz="0" w:space="0" w:color="auto"/>
                <w:left w:val="none" w:sz="0" w:space="0" w:color="auto"/>
                <w:bottom w:val="none" w:sz="0" w:space="0" w:color="auto"/>
                <w:right w:val="none" w:sz="0" w:space="0" w:color="auto"/>
              </w:divBdr>
            </w:div>
            <w:div w:id="12942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7929">
      <w:bodyDiv w:val="1"/>
      <w:marLeft w:val="0"/>
      <w:marRight w:val="0"/>
      <w:marTop w:val="0"/>
      <w:marBottom w:val="0"/>
      <w:divBdr>
        <w:top w:val="none" w:sz="0" w:space="0" w:color="auto"/>
        <w:left w:val="none" w:sz="0" w:space="0" w:color="auto"/>
        <w:bottom w:val="none" w:sz="0" w:space="0" w:color="auto"/>
        <w:right w:val="none" w:sz="0" w:space="0" w:color="auto"/>
      </w:divBdr>
    </w:div>
    <w:div w:id="1104374660">
      <w:bodyDiv w:val="1"/>
      <w:marLeft w:val="0"/>
      <w:marRight w:val="0"/>
      <w:marTop w:val="0"/>
      <w:marBottom w:val="0"/>
      <w:divBdr>
        <w:top w:val="none" w:sz="0" w:space="0" w:color="auto"/>
        <w:left w:val="none" w:sz="0" w:space="0" w:color="auto"/>
        <w:bottom w:val="none" w:sz="0" w:space="0" w:color="auto"/>
        <w:right w:val="none" w:sz="0" w:space="0" w:color="auto"/>
      </w:divBdr>
    </w:div>
    <w:div w:id="1113943817">
      <w:bodyDiv w:val="1"/>
      <w:marLeft w:val="0"/>
      <w:marRight w:val="0"/>
      <w:marTop w:val="0"/>
      <w:marBottom w:val="0"/>
      <w:divBdr>
        <w:top w:val="none" w:sz="0" w:space="0" w:color="auto"/>
        <w:left w:val="none" w:sz="0" w:space="0" w:color="auto"/>
        <w:bottom w:val="none" w:sz="0" w:space="0" w:color="auto"/>
        <w:right w:val="none" w:sz="0" w:space="0" w:color="auto"/>
      </w:divBdr>
    </w:div>
    <w:div w:id="1242135695">
      <w:bodyDiv w:val="1"/>
      <w:marLeft w:val="0"/>
      <w:marRight w:val="0"/>
      <w:marTop w:val="0"/>
      <w:marBottom w:val="0"/>
      <w:divBdr>
        <w:top w:val="none" w:sz="0" w:space="0" w:color="auto"/>
        <w:left w:val="none" w:sz="0" w:space="0" w:color="auto"/>
        <w:bottom w:val="none" w:sz="0" w:space="0" w:color="auto"/>
        <w:right w:val="none" w:sz="0" w:space="0" w:color="auto"/>
      </w:divBdr>
    </w:div>
    <w:div w:id="1309284577">
      <w:bodyDiv w:val="1"/>
      <w:marLeft w:val="0"/>
      <w:marRight w:val="0"/>
      <w:marTop w:val="0"/>
      <w:marBottom w:val="0"/>
      <w:divBdr>
        <w:top w:val="none" w:sz="0" w:space="0" w:color="auto"/>
        <w:left w:val="none" w:sz="0" w:space="0" w:color="auto"/>
        <w:bottom w:val="none" w:sz="0" w:space="0" w:color="auto"/>
        <w:right w:val="none" w:sz="0" w:space="0" w:color="auto"/>
      </w:divBdr>
    </w:div>
    <w:div w:id="1472089961">
      <w:bodyDiv w:val="1"/>
      <w:marLeft w:val="0"/>
      <w:marRight w:val="0"/>
      <w:marTop w:val="0"/>
      <w:marBottom w:val="0"/>
      <w:divBdr>
        <w:top w:val="none" w:sz="0" w:space="0" w:color="auto"/>
        <w:left w:val="none" w:sz="0" w:space="0" w:color="auto"/>
        <w:bottom w:val="none" w:sz="0" w:space="0" w:color="auto"/>
        <w:right w:val="none" w:sz="0" w:space="0" w:color="auto"/>
      </w:divBdr>
    </w:div>
    <w:div w:id="1685356413">
      <w:bodyDiv w:val="1"/>
      <w:marLeft w:val="0"/>
      <w:marRight w:val="0"/>
      <w:marTop w:val="0"/>
      <w:marBottom w:val="0"/>
      <w:divBdr>
        <w:top w:val="none" w:sz="0" w:space="0" w:color="auto"/>
        <w:left w:val="none" w:sz="0" w:space="0" w:color="auto"/>
        <w:bottom w:val="none" w:sz="0" w:space="0" w:color="auto"/>
        <w:right w:val="none" w:sz="0" w:space="0" w:color="auto"/>
      </w:divBdr>
    </w:div>
    <w:div w:id="1686706317">
      <w:bodyDiv w:val="1"/>
      <w:marLeft w:val="0"/>
      <w:marRight w:val="0"/>
      <w:marTop w:val="0"/>
      <w:marBottom w:val="0"/>
      <w:divBdr>
        <w:top w:val="none" w:sz="0" w:space="0" w:color="auto"/>
        <w:left w:val="none" w:sz="0" w:space="0" w:color="auto"/>
        <w:bottom w:val="none" w:sz="0" w:space="0" w:color="auto"/>
        <w:right w:val="none" w:sz="0" w:space="0" w:color="auto"/>
      </w:divBdr>
    </w:div>
    <w:div w:id="1696686038">
      <w:bodyDiv w:val="1"/>
      <w:marLeft w:val="0"/>
      <w:marRight w:val="0"/>
      <w:marTop w:val="0"/>
      <w:marBottom w:val="0"/>
      <w:divBdr>
        <w:top w:val="none" w:sz="0" w:space="0" w:color="auto"/>
        <w:left w:val="none" w:sz="0" w:space="0" w:color="auto"/>
        <w:bottom w:val="none" w:sz="0" w:space="0" w:color="auto"/>
        <w:right w:val="none" w:sz="0" w:space="0" w:color="auto"/>
      </w:divBdr>
    </w:div>
    <w:div w:id="1734305948">
      <w:bodyDiv w:val="1"/>
      <w:marLeft w:val="0"/>
      <w:marRight w:val="0"/>
      <w:marTop w:val="0"/>
      <w:marBottom w:val="0"/>
      <w:divBdr>
        <w:top w:val="none" w:sz="0" w:space="0" w:color="auto"/>
        <w:left w:val="none" w:sz="0" w:space="0" w:color="auto"/>
        <w:bottom w:val="none" w:sz="0" w:space="0" w:color="auto"/>
        <w:right w:val="none" w:sz="0" w:space="0" w:color="auto"/>
      </w:divBdr>
      <w:divsChild>
        <w:div w:id="758140986">
          <w:marLeft w:val="0"/>
          <w:marRight w:val="0"/>
          <w:marTop w:val="0"/>
          <w:marBottom w:val="0"/>
          <w:divBdr>
            <w:top w:val="none" w:sz="0" w:space="0" w:color="auto"/>
            <w:left w:val="none" w:sz="0" w:space="0" w:color="auto"/>
            <w:bottom w:val="none" w:sz="0" w:space="0" w:color="auto"/>
            <w:right w:val="none" w:sz="0" w:space="0" w:color="auto"/>
          </w:divBdr>
        </w:div>
        <w:div w:id="795295056">
          <w:marLeft w:val="0"/>
          <w:marRight w:val="0"/>
          <w:marTop w:val="0"/>
          <w:marBottom w:val="0"/>
          <w:divBdr>
            <w:top w:val="none" w:sz="0" w:space="0" w:color="auto"/>
            <w:left w:val="none" w:sz="0" w:space="0" w:color="auto"/>
            <w:bottom w:val="none" w:sz="0" w:space="0" w:color="auto"/>
            <w:right w:val="none" w:sz="0" w:space="0" w:color="auto"/>
          </w:divBdr>
        </w:div>
        <w:div w:id="822892461">
          <w:marLeft w:val="0"/>
          <w:marRight w:val="0"/>
          <w:marTop w:val="0"/>
          <w:marBottom w:val="0"/>
          <w:divBdr>
            <w:top w:val="none" w:sz="0" w:space="0" w:color="auto"/>
            <w:left w:val="none" w:sz="0" w:space="0" w:color="auto"/>
            <w:bottom w:val="none" w:sz="0" w:space="0" w:color="auto"/>
            <w:right w:val="none" w:sz="0" w:space="0" w:color="auto"/>
          </w:divBdr>
        </w:div>
        <w:div w:id="918441841">
          <w:marLeft w:val="0"/>
          <w:marRight w:val="0"/>
          <w:marTop w:val="0"/>
          <w:marBottom w:val="0"/>
          <w:divBdr>
            <w:top w:val="none" w:sz="0" w:space="0" w:color="auto"/>
            <w:left w:val="none" w:sz="0" w:space="0" w:color="auto"/>
            <w:bottom w:val="none" w:sz="0" w:space="0" w:color="auto"/>
            <w:right w:val="none" w:sz="0" w:space="0" w:color="auto"/>
          </w:divBdr>
        </w:div>
        <w:div w:id="1304434290">
          <w:marLeft w:val="0"/>
          <w:marRight w:val="0"/>
          <w:marTop w:val="0"/>
          <w:marBottom w:val="0"/>
          <w:divBdr>
            <w:top w:val="none" w:sz="0" w:space="0" w:color="auto"/>
            <w:left w:val="none" w:sz="0" w:space="0" w:color="auto"/>
            <w:bottom w:val="none" w:sz="0" w:space="0" w:color="auto"/>
            <w:right w:val="none" w:sz="0" w:space="0" w:color="auto"/>
          </w:divBdr>
        </w:div>
      </w:divsChild>
    </w:div>
    <w:div w:id="1743520759">
      <w:bodyDiv w:val="1"/>
      <w:marLeft w:val="0"/>
      <w:marRight w:val="0"/>
      <w:marTop w:val="0"/>
      <w:marBottom w:val="0"/>
      <w:divBdr>
        <w:top w:val="none" w:sz="0" w:space="0" w:color="auto"/>
        <w:left w:val="none" w:sz="0" w:space="0" w:color="auto"/>
        <w:bottom w:val="none" w:sz="0" w:space="0" w:color="auto"/>
        <w:right w:val="none" w:sz="0" w:space="0" w:color="auto"/>
      </w:divBdr>
    </w:div>
    <w:div w:id="1775401060">
      <w:bodyDiv w:val="1"/>
      <w:marLeft w:val="0"/>
      <w:marRight w:val="0"/>
      <w:marTop w:val="0"/>
      <w:marBottom w:val="0"/>
      <w:divBdr>
        <w:top w:val="none" w:sz="0" w:space="0" w:color="auto"/>
        <w:left w:val="none" w:sz="0" w:space="0" w:color="auto"/>
        <w:bottom w:val="none" w:sz="0" w:space="0" w:color="auto"/>
        <w:right w:val="none" w:sz="0" w:space="0" w:color="auto"/>
      </w:divBdr>
    </w:div>
    <w:div w:id="1923222304">
      <w:bodyDiv w:val="1"/>
      <w:marLeft w:val="0"/>
      <w:marRight w:val="0"/>
      <w:marTop w:val="0"/>
      <w:marBottom w:val="0"/>
      <w:divBdr>
        <w:top w:val="none" w:sz="0" w:space="0" w:color="auto"/>
        <w:left w:val="none" w:sz="0" w:space="0" w:color="auto"/>
        <w:bottom w:val="none" w:sz="0" w:space="0" w:color="auto"/>
        <w:right w:val="none" w:sz="0" w:space="0" w:color="auto"/>
      </w:divBdr>
    </w:div>
    <w:div w:id="1955863766">
      <w:bodyDiv w:val="1"/>
      <w:marLeft w:val="0"/>
      <w:marRight w:val="0"/>
      <w:marTop w:val="0"/>
      <w:marBottom w:val="0"/>
      <w:divBdr>
        <w:top w:val="none" w:sz="0" w:space="0" w:color="auto"/>
        <w:left w:val="none" w:sz="0" w:space="0" w:color="auto"/>
        <w:bottom w:val="none" w:sz="0" w:space="0" w:color="auto"/>
        <w:right w:val="none" w:sz="0" w:space="0" w:color="auto"/>
      </w:divBdr>
    </w:div>
    <w:div w:id="20405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8340-5D83-4686-9F6D-E9E82FA7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2186</Words>
  <Characters>12464</Characters>
  <Application>Microsoft Office Word</Application>
  <DocSecurity>0</DocSecurity>
  <Lines>103</Lines>
  <Paragraphs>29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Loi régionale n° 18 du 24 juillet 2000,</vt:lpstr>
      <vt:lpstr>Loi régionale n° 18 du 24 juillet 2000,</vt:lpstr>
    </vt:vector>
  </TitlesOfParts>
  <Company>Packard Bell NEC, Inc.</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régionale n° 18 du 24 juillet 2000,</dc:title>
  <dc:creator>Packard Bell NEC, Inc.</dc:creator>
  <cp:lastModifiedBy>pnale</cp:lastModifiedBy>
  <cp:revision>10</cp:revision>
  <cp:lastPrinted>2013-04-03T15:53:00Z</cp:lastPrinted>
  <dcterms:created xsi:type="dcterms:W3CDTF">2018-03-19T15:26:00Z</dcterms:created>
  <dcterms:modified xsi:type="dcterms:W3CDTF">2018-05-31T09:31:00Z</dcterms:modified>
</cp:coreProperties>
</file>