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CC5" w:rsidRPr="00A448B9" w:rsidRDefault="007A4CC5" w:rsidP="007A4CC5">
      <w:pPr>
        <w:spacing w:before="120"/>
        <w:jc w:val="center"/>
      </w:pPr>
      <w:r w:rsidRPr="00A448B9">
        <w:t>ANNEXE A</w:t>
      </w:r>
      <w:r w:rsidR="0043534B">
        <w:t xml:space="preserve"> (1)</w:t>
      </w:r>
    </w:p>
    <w:p w:rsidR="007A4CC5" w:rsidRPr="00A448B9" w:rsidRDefault="007A4CC5" w:rsidP="007A4CC5">
      <w:pPr>
        <w:spacing w:before="120"/>
        <w:jc w:val="center"/>
      </w:pPr>
      <w:r w:rsidRPr="00A448B9">
        <w:t>Types de projets devant être soumis à la procédure régionale d’ÉIE au sens des art. 6, 15 et 17 de la loi régionale n° 12 du 26 mai 2009</w:t>
      </w:r>
    </w:p>
    <w:p w:rsidR="007A4CC5" w:rsidRPr="00A448B9" w:rsidRDefault="007A4CC5" w:rsidP="007A4CC5">
      <w:pPr>
        <w:numPr>
          <w:ilvl w:val="0"/>
          <w:numId w:val="17"/>
        </w:numPr>
        <w:spacing w:before="120"/>
      </w:pPr>
      <w:r w:rsidRPr="00A448B9">
        <w:t>Dérivation à des fins autres que la production d’énergie de plus de 1 000 litres d’eau par seconde, dans le cas des eaux superficielles, ou de plus de 100 l/s, dans le cas des eaux souterraines, y compris les eaux minérales et thermales.</w:t>
      </w:r>
    </w:p>
    <w:p w:rsidR="007A4CC5" w:rsidRPr="00A448B9" w:rsidRDefault="007A4CC5" w:rsidP="007A4CC5">
      <w:pPr>
        <w:numPr>
          <w:ilvl w:val="0"/>
          <w:numId w:val="17"/>
        </w:numPr>
        <w:spacing w:before="120"/>
      </w:pPr>
      <w:r w:rsidRPr="00A448B9">
        <w:t>Installations thermiques pour la production d’énergie électrique, de vapeur et d’eau chaude, dont la puissance thermique installée totale est supérieure à 15 MW.</w:t>
      </w:r>
    </w:p>
    <w:p w:rsidR="007A4CC5" w:rsidRPr="00A448B9" w:rsidRDefault="007A4CC5" w:rsidP="007A4CC5">
      <w:pPr>
        <w:numPr>
          <w:ilvl w:val="0"/>
          <w:numId w:val="17"/>
        </w:numPr>
        <w:spacing w:before="120"/>
      </w:pPr>
      <w:r w:rsidRPr="00A448B9">
        <w:t>Installations éoliennes pour la production d’énergie électrique dont la puissance installée totale est supérieure à 100  kW.</w:t>
      </w:r>
    </w:p>
    <w:p w:rsidR="007A4CC5" w:rsidRPr="00A448B9" w:rsidRDefault="007A4CC5" w:rsidP="007A4CC5">
      <w:pPr>
        <w:numPr>
          <w:ilvl w:val="0"/>
          <w:numId w:val="17"/>
        </w:numPr>
        <w:spacing w:before="120"/>
      </w:pPr>
      <w:r w:rsidRPr="00A448B9">
        <w:t>Installations photovoltaïques dont la puissance installée totale est supérieure à 1 MW.</w:t>
      </w:r>
    </w:p>
    <w:p w:rsidR="007A4CC5" w:rsidRPr="00A448B9" w:rsidRDefault="007A4CC5" w:rsidP="007A4CC5">
      <w:pPr>
        <w:numPr>
          <w:ilvl w:val="0"/>
          <w:numId w:val="17"/>
        </w:numPr>
        <w:spacing w:before="120"/>
      </w:pPr>
      <w:r w:rsidRPr="00A448B9">
        <w:t>Installations industrielles destinées :</w:t>
      </w:r>
    </w:p>
    <w:p w:rsidR="007A4CC5" w:rsidRPr="00A448B9" w:rsidRDefault="007A4CC5" w:rsidP="007A4CC5">
      <w:pPr>
        <w:numPr>
          <w:ilvl w:val="1"/>
          <w:numId w:val="17"/>
        </w:numPr>
        <w:spacing w:before="120"/>
      </w:pPr>
      <w:r w:rsidRPr="00A448B9">
        <w:t>À la fabrication de pâte à papier à partir du bois ou d’autre matières fibreuses ;</w:t>
      </w:r>
    </w:p>
    <w:p w:rsidR="007A4CC5" w:rsidRPr="00A448B9" w:rsidRDefault="007A4CC5" w:rsidP="007A4CC5">
      <w:pPr>
        <w:numPr>
          <w:ilvl w:val="1"/>
          <w:numId w:val="17"/>
        </w:numPr>
        <w:spacing w:before="120"/>
      </w:pPr>
      <w:r w:rsidRPr="00A448B9">
        <w:t>À la fabrication de papier et de carton, avec une capacité de production supérieure à 100 tonnes par jour.</w:t>
      </w:r>
    </w:p>
    <w:p w:rsidR="007A4CC5" w:rsidRPr="00A448B9" w:rsidRDefault="007A4CC5" w:rsidP="007A4CC5">
      <w:pPr>
        <w:numPr>
          <w:ilvl w:val="0"/>
          <w:numId w:val="17"/>
        </w:numPr>
        <w:spacing w:before="120"/>
      </w:pPr>
      <w:r w:rsidRPr="00A448B9">
        <w:t>Installations chimiques intégrées, c’est-à-dire les installations prévues pour la fabrication à l’échelle industrielle de substances par transformation chimique, où plusieurs unités sont juxtaposées et fonctionnellement liées entre elles, et qui sont destinées :</w:t>
      </w:r>
    </w:p>
    <w:p w:rsidR="007A4CC5" w:rsidRPr="00A448B9" w:rsidRDefault="007A4CC5" w:rsidP="007A4CC5">
      <w:pPr>
        <w:numPr>
          <w:ilvl w:val="1"/>
          <w:numId w:val="17"/>
        </w:numPr>
        <w:spacing w:before="120"/>
      </w:pPr>
      <w:r w:rsidRPr="00A448B9">
        <w:t>À la fabrication de produits chimiques organiques de base ; ces projets ne figurent pas dans l’annexe II du décret législatif n° 4 du 16 janvier 2008 (Nouvelles dispositions corrigeant et complétant le décret législatif n° 152 du 3 avril 2006 portant dispositions en matière d’environnement) ;</w:t>
      </w:r>
    </w:p>
    <w:p w:rsidR="007A4CC5" w:rsidRPr="00A448B9" w:rsidRDefault="007A4CC5" w:rsidP="007A4CC5">
      <w:pPr>
        <w:numPr>
          <w:ilvl w:val="1"/>
          <w:numId w:val="17"/>
        </w:numPr>
        <w:spacing w:before="120"/>
      </w:pPr>
      <w:r w:rsidRPr="00A448B9">
        <w:t>À la fabrication de produits chimiques inorganiques de base ; ces projets ne figurent pas dans l’annexe II du décret législatif n° 4/2008 ;</w:t>
      </w:r>
    </w:p>
    <w:p w:rsidR="007A4CC5" w:rsidRPr="00A448B9" w:rsidRDefault="007A4CC5" w:rsidP="007A4CC5">
      <w:pPr>
        <w:numPr>
          <w:ilvl w:val="1"/>
          <w:numId w:val="17"/>
        </w:numPr>
        <w:spacing w:before="120"/>
      </w:pPr>
      <w:r w:rsidRPr="00A448B9">
        <w:t>À la fabrication d’engrais simples ou composés à base de phosphore, d’azote ou de potassium ; ces projets ne figurent pas dans l’annexe II du décret législatif n° 4/2008 ;</w:t>
      </w:r>
    </w:p>
    <w:p w:rsidR="007A4CC5" w:rsidRPr="00A448B9" w:rsidRDefault="007A4CC5" w:rsidP="007A4CC5">
      <w:pPr>
        <w:numPr>
          <w:ilvl w:val="1"/>
          <w:numId w:val="17"/>
        </w:numPr>
        <w:spacing w:before="120"/>
      </w:pPr>
      <w:r w:rsidRPr="00A448B9">
        <w:t>À la fabrication de produits de base phytosanitaires et de biocides ;</w:t>
      </w:r>
    </w:p>
    <w:p w:rsidR="007A4CC5" w:rsidRPr="00A448B9" w:rsidRDefault="007A4CC5" w:rsidP="007A4CC5">
      <w:pPr>
        <w:numPr>
          <w:ilvl w:val="1"/>
          <w:numId w:val="17"/>
        </w:numPr>
        <w:spacing w:before="120"/>
      </w:pPr>
      <w:r w:rsidRPr="00A448B9">
        <w:t>À la fabrication de produits pharmaceutiques de base selon un procédé chimique ou biologique ;</w:t>
      </w:r>
    </w:p>
    <w:p w:rsidR="007A4CC5" w:rsidRPr="00A448B9" w:rsidRDefault="007A4CC5" w:rsidP="007A4CC5">
      <w:pPr>
        <w:numPr>
          <w:ilvl w:val="1"/>
          <w:numId w:val="17"/>
        </w:numPr>
        <w:spacing w:before="120"/>
      </w:pPr>
      <w:r w:rsidRPr="00A448B9">
        <w:t>À la fabrication d’explosifs.</w:t>
      </w:r>
    </w:p>
    <w:p w:rsidR="007A4CC5" w:rsidRPr="00A448B9" w:rsidRDefault="007A4CC5" w:rsidP="007A4CC5">
      <w:pPr>
        <w:numPr>
          <w:ilvl w:val="0"/>
          <w:numId w:val="17"/>
        </w:numPr>
        <w:spacing w:before="120"/>
      </w:pPr>
      <w:r w:rsidRPr="00A448B9">
        <w:t>Installations de traitement de produits intermédiaires et de fabrication de produits chimiques.</w:t>
      </w:r>
    </w:p>
    <w:p w:rsidR="007A4CC5" w:rsidRPr="00A448B9" w:rsidRDefault="007A4CC5" w:rsidP="007A4CC5">
      <w:pPr>
        <w:numPr>
          <w:ilvl w:val="0"/>
          <w:numId w:val="17"/>
        </w:numPr>
        <w:spacing w:before="120"/>
      </w:pPr>
      <w:r w:rsidRPr="00A448B9">
        <w:t>Installations de fabrication de pesticides et de produits pharmaceutiques, de peintures et de vernis, d’élastomères et de peroxydes.</w:t>
      </w:r>
    </w:p>
    <w:p w:rsidR="007A4CC5" w:rsidRPr="00A448B9" w:rsidRDefault="007A4CC5" w:rsidP="007A4CC5">
      <w:pPr>
        <w:numPr>
          <w:ilvl w:val="0"/>
          <w:numId w:val="17"/>
        </w:numPr>
        <w:spacing w:before="120"/>
      </w:pPr>
      <w:r w:rsidRPr="00A448B9">
        <w:t>Installations de stockage de pétrole, de produits pétroliers et de produits pétrochimiques dangereux au sens du décret législatif n° 65 du 14 mars 2003 (Application des directives 1999/45/CE et 2001/60/CE relatives à la classification, à l’emballage et à l’étiquetage des préparations dangereuses) d’une capacité globale supérieure à 10 000 mètres cubes.</w:t>
      </w:r>
    </w:p>
    <w:p w:rsidR="007A4CC5" w:rsidRPr="00A448B9" w:rsidRDefault="007A4CC5" w:rsidP="007A4CC5">
      <w:pPr>
        <w:numPr>
          <w:ilvl w:val="0"/>
          <w:numId w:val="17"/>
        </w:numPr>
        <w:spacing w:before="120"/>
      </w:pPr>
      <w:r w:rsidRPr="00A448B9">
        <w:t>Installations de stockage d’autres produits chimiques d’une capacité globale supérieure à 1 000 m</w:t>
      </w:r>
      <w:r w:rsidRPr="00A448B9">
        <w:rPr>
          <w:vertAlign w:val="superscript"/>
        </w:rPr>
        <w:t>3</w:t>
      </w:r>
      <w:r w:rsidRPr="00A448B9">
        <w:t>.</w:t>
      </w:r>
    </w:p>
    <w:p w:rsidR="007A4CC5" w:rsidRPr="00A448B9" w:rsidRDefault="007A4CC5" w:rsidP="007A4CC5">
      <w:pPr>
        <w:numPr>
          <w:ilvl w:val="0"/>
          <w:numId w:val="17"/>
        </w:numPr>
        <w:spacing w:before="120"/>
      </w:pPr>
      <w:r w:rsidRPr="00A448B9">
        <w:t>Usines destinées au tannage des peaux.</w:t>
      </w:r>
    </w:p>
    <w:p w:rsidR="007A4CC5" w:rsidRPr="00A448B9" w:rsidRDefault="007A4CC5" w:rsidP="007A4CC5">
      <w:pPr>
        <w:numPr>
          <w:ilvl w:val="0"/>
          <w:numId w:val="17"/>
        </w:numPr>
        <w:spacing w:before="120"/>
      </w:pPr>
      <w:r w:rsidRPr="00A448B9">
        <w:lastRenderedPageBreak/>
        <w:t>Installations de traitement et, limitativement aux procédures courantes d’autorisation visées à l’art. 208 du décret législatif n° 152 du 3 avril 2006 (Dispositions en matière d’environnement), de récupération des déchets dangereux, par les opérations énumérées aux annexes B et C de la quatrième partie dudit décret législatif, à l’exception des opérations de traitement visées aux points D13, D14 et D15 de l’annexe B et des opérations de récupération visées au point R13 de l’annexe C qui, elles, sont soumises à une procédure de vérification</w:t>
      </w:r>
      <w:r w:rsidRPr="00A448B9">
        <w:rPr>
          <w:lang w:eastAsia="fr-FR"/>
        </w:rPr>
        <w:t xml:space="preserve"> de l’applicabilité de la procédure d’ÉIE au sens de l’art. 17 de la LR n°</w:t>
      </w:r>
      <w:r w:rsidRPr="00A448B9">
        <w:t xml:space="preserve"> 12/2009.</w:t>
      </w:r>
    </w:p>
    <w:p w:rsidR="007A4CC5" w:rsidRPr="00A448B9" w:rsidRDefault="007A4CC5" w:rsidP="007A4CC5">
      <w:pPr>
        <w:numPr>
          <w:ilvl w:val="0"/>
          <w:numId w:val="17"/>
        </w:numPr>
        <w:spacing w:before="120"/>
      </w:pPr>
      <w:r w:rsidRPr="00A448B9">
        <w:t xml:space="preserve">Installations de traitement et, limitativement aux procédures courantes d’autorisation visées à l’art. 208 du décret législatif n° 152/2006, de récupération des déchets non dangereux, d’une capacité supérieure à 100 t par jour, à l’exception des installations pour les opérations d’incinération visées au point D10 de l’annexe B de la quatrième partie dudit décret législatif, qui sont toujours soumises à la </w:t>
      </w:r>
      <w:r w:rsidRPr="00A448B9">
        <w:rPr>
          <w:lang w:eastAsia="fr-FR"/>
        </w:rPr>
        <w:t>procédure d’ÉIE ; l</w:t>
      </w:r>
      <w:r w:rsidRPr="00A448B9">
        <w:t>es opérations de traitement visées aux points D13, D14 et D15 de ladite annexe B et les opérations de récupération visées au point R13 de l’annexe C de la quatrième partie dudit décret législatif sont soumises à une procédure de vérification</w:t>
      </w:r>
      <w:r w:rsidRPr="00A448B9">
        <w:rPr>
          <w:lang w:eastAsia="fr-FR"/>
        </w:rPr>
        <w:t xml:space="preserve"> de l’applicabilité de la procédure d’ÉIE au sens de l’art. 17 de la LR n°</w:t>
      </w:r>
      <w:r w:rsidRPr="00A448B9">
        <w:t xml:space="preserve"> 12/2009</w:t>
      </w:r>
      <w:r w:rsidRPr="00A448B9">
        <w:rPr>
          <w:lang w:eastAsia="fr-FR"/>
        </w:rPr>
        <w:t xml:space="preserve">. Sont également soumises </w:t>
      </w:r>
      <w:r w:rsidRPr="00A448B9">
        <w:t xml:space="preserve">à la </w:t>
      </w:r>
      <w:r w:rsidRPr="00A448B9">
        <w:rPr>
          <w:lang w:eastAsia="fr-FR"/>
        </w:rPr>
        <w:t>procédure d’ÉIE les décharges de déchets inertes spéciaux et de déchets urbains d’une capacité globale supérieure à 50 000 </w:t>
      </w:r>
      <w:r w:rsidRPr="00A448B9">
        <w:t>m</w:t>
      </w:r>
      <w:r w:rsidRPr="00A448B9">
        <w:rPr>
          <w:vertAlign w:val="superscript"/>
        </w:rPr>
        <w:t>3</w:t>
      </w:r>
      <w:r w:rsidRPr="00A448B9">
        <w:rPr>
          <w:lang w:eastAsia="fr-FR"/>
        </w:rPr>
        <w:t xml:space="preserve">. </w:t>
      </w:r>
    </w:p>
    <w:p w:rsidR="007A4CC5" w:rsidRPr="00A448B9" w:rsidRDefault="007A4CC5" w:rsidP="007A4CC5">
      <w:pPr>
        <w:numPr>
          <w:ilvl w:val="0"/>
          <w:numId w:val="17"/>
        </w:numPr>
        <w:spacing w:before="120"/>
      </w:pPr>
      <w:r w:rsidRPr="00A448B9">
        <w:t>Installations d’épuration des eaux d’un potentiel supérieur à 50 000 équivalents-habitants.</w:t>
      </w:r>
    </w:p>
    <w:p w:rsidR="007A4CC5" w:rsidRPr="00A448B9" w:rsidRDefault="007A4CC5" w:rsidP="007A4CC5">
      <w:pPr>
        <w:numPr>
          <w:ilvl w:val="0"/>
          <w:numId w:val="17"/>
        </w:numPr>
        <w:spacing w:before="120"/>
      </w:pPr>
      <w:r w:rsidRPr="00A448B9">
        <w:t>Barrages et autres installations destinées à retenir, à réguler les eaux ou à les stocker de façon permanente à des fins autres que la production d’énergie, dont la hauteur et/ou la capacité dépassent, respectivement, 10 mètres  et 100 000 m</w:t>
      </w:r>
      <w:r w:rsidRPr="00A448B9">
        <w:rPr>
          <w:vertAlign w:val="superscript"/>
        </w:rPr>
        <w:t>3</w:t>
      </w:r>
      <w:r w:rsidRPr="00A448B9">
        <w:t>, à l’exception des ouvrages de retenue pour la mise en sécurité des sites pollués.</w:t>
      </w:r>
    </w:p>
    <w:p w:rsidR="007A4CC5" w:rsidRPr="00A448B9" w:rsidRDefault="007A4CC5" w:rsidP="007A4CC5">
      <w:pPr>
        <w:numPr>
          <w:ilvl w:val="0"/>
          <w:numId w:val="17"/>
        </w:numPr>
        <w:spacing w:before="120"/>
      </w:pPr>
      <w:r w:rsidRPr="00A448B9">
        <w:t>Exploitations terrestres des substances minières visées aux lois sectorielles.</w:t>
      </w:r>
    </w:p>
    <w:p w:rsidR="007A4CC5" w:rsidRPr="00A448B9" w:rsidRDefault="007A4CC5" w:rsidP="007A4CC5">
      <w:pPr>
        <w:numPr>
          <w:ilvl w:val="0"/>
          <w:numId w:val="17"/>
        </w:numPr>
        <w:spacing w:before="120"/>
      </w:pPr>
      <w:r w:rsidRPr="00A448B9">
        <w:t>Exploitations terrestres d’hydrocarbures liquides et gazeux et de ressources géothermiques.</w:t>
      </w:r>
    </w:p>
    <w:p w:rsidR="007A4CC5" w:rsidRPr="00A448B9" w:rsidRDefault="007A4CC5" w:rsidP="007A4CC5">
      <w:pPr>
        <w:numPr>
          <w:ilvl w:val="0"/>
          <w:numId w:val="17"/>
        </w:numPr>
        <w:spacing w:before="120"/>
      </w:pPr>
      <w:r w:rsidRPr="00A448B9">
        <w:t>Lignes de transport de l’énergie électrique ne faisant pas partie du réseau de transmission étatique, avec une tension nominale supérieure à 100 kV et un tracé de plus de 10 kilomètres de longueur.</w:t>
      </w:r>
    </w:p>
    <w:p w:rsidR="007A4CC5" w:rsidRPr="00A448B9" w:rsidRDefault="007A4CC5" w:rsidP="007A4CC5">
      <w:pPr>
        <w:numPr>
          <w:ilvl w:val="0"/>
          <w:numId w:val="17"/>
        </w:numPr>
        <w:spacing w:before="120"/>
      </w:pPr>
      <w:r w:rsidRPr="00A448B9">
        <w:t>Nouvelles routes et nouveaux chemins d’exploitation de plus de 2 km de longueur.</w:t>
      </w:r>
    </w:p>
    <w:p w:rsidR="007A4CC5" w:rsidRPr="00A448B9" w:rsidRDefault="007A4CC5" w:rsidP="007A4CC5">
      <w:pPr>
        <w:numPr>
          <w:ilvl w:val="0"/>
          <w:numId w:val="17"/>
        </w:numPr>
        <w:spacing w:before="120"/>
      </w:pPr>
      <w:r w:rsidRPr="00A448B9">
        <w:t>Installations de stockage de gaz combustibles dans des réservoirs souterrains artificiels d’une capacité totale supérieure à 40 000 m</w:t>
      </w:r>
      <w:r w:rsidRPr="00A448B9">
        <w:rPr>
          <w:vertAlign w:val="superscript"/>
        </w:rPr>
        <w:t>3</w:t>
      </w:r>
      <w:r w:rsidRPr="00A448B9">
        <w:t>.</w:t>
      </w:r>
    </w:p>
    <w:p w:rsidR="007A4CC5" w:rsidRPr="00A448B9" w:rsidRDefault="007A4CC5" w:rsidP="007A4CC5">
      <w:pPr>
        <w:numPr>
          <w:ilvl w:val="0"/>
          <w:numId w:val="17"/>
        </w:numPr>
        <w:shd w:val="clear" w:color="auto" w:fill="FFFFFF"/>
        <w:spacing w:before="120"/>
        <w:ind w:right="-27"/>
        <w:textAlignment w:val="baseline"/>
        <w:rPr>
          <w:lang w:eastAsia="fr-FR"/>
        </w:rPr>
      </w:pPr>
      <w:r w:rsidRPr="00A448B9">
        <w:rPr>
          <w:lang w:eastAsia="fr-FR"/>
        </w:rPr>
        <w:t>Installations destinées à l’élevage intensif  abritant :</w:t>
      </w:r>
    </w:p>
    <w:p w:rsidR="007A4CC5" w:rsidRPr="00A448B9" w:rsidRDefault="007A4CC5" w:rsidP="007A4CC5">
      <w:pPr>
        <w:numPr>
          <w:ilvl w:val="1"/>
          <w:numId w:val="17"/>
        </w:numPr>
        <w:shd w:val="clear" w:color="auto" w:fill="FFFFFF"/>
        <w:spacing w:before="120"/>
        <w:ind w:left="908" w:right="-27" w:hanging="454"/>
        <w:textAlignment w:val="baseline"/>
        <w:rPr>
          <w:lang w:eastAsia="fr-FR"/>
        </w:rPr>
      </w:pPr>
      <w:r w:rsidRPr="00A448B9">
        <w:rPr>
          <w:lang w:eastAsia="fr-FR"/>
        </w:rPr>
        <w:t>Plus de 2 000 poulets d’engraissement ou plus de 2 000 poules ;</w:t>
      </w:r>
    </w:p>
    <w:p w:rsidR="007A4CC5" w:rsidRPr="00A448B9" w:rsidRDefault="007A4CC5" w:rsidP="007A4CC5">
      <w:pPr>
        <w:numPr>
          <w:ilvl w:val="1"/>
          <w:numId w:val="17"/>
        </w:numPr>
        <w:shd w:val="clear" w:color="auto" w:fill="FFFFFF"/>
        <w:spacing w:before="120"/>
        <w:ind w:left="908" w:right="-27" w:hanging="454"/>
        <w:textAlignment w:val="baseline"/>
        <w:rPr>
          <w:lang w:eastAsia="fr-FR"/>
        </w:rPr>
      </w:pPr>
      <w:r w:rsidRPr="00A448B9">
        <w:rPr>
          <w:lang w:eastAsia="fr-FR"/>
        </w:rPr>
        <w:t>Plus de 1 000 porcs de production de plus de 30 kg ou plus de 500 truies ;</w:t>
      </w:r>
    </w:p>
    <w:p w:rsidR="007A4CC5" w:rsidRPr="00A448B9" w:rsidRDefault="007A4CC5" w:rsidP="007A4CC5">
      <w:pPr>
        <w:numPr>
          <w:ilvl w:val="1"/>
          <w:numId w:val="17"/>
        </w:numPr>
        <w:shd w:val="clear" w:color="auto" w:fill="FFFFFF"/>
        <w:spacing w:before="120"/>
        <w:ind w:left="908" w:right="-27" w:hanging="454"/>
        <w:textAlignment w:val="baseline"/>
        <w:rPr>
          <w:lang w:eastAsia="fr-FR"/>
        </w:rPr>
      </w:pPr>
      <w:r w:rsidRPr="00A448B9">
        <w:rPr>
          <w:lang w:eastAsia="fr-FR"/>
        </w:rPr>
        <w:t>Pour les autres catégories, plus de 200 unités de gros bétail (UGB).</w:t>
      </w:r>
    </w:p>
    <w:p w:rsidR="007A4CC5" w:rsidRPr="00A448B9" w:rsidRDefault="007A4CC5" w:rsidP="007A4CC5">
      <w:pPr>
        <w:spacing w:before="120"/>
        <w:ind w:left="907"/>
      </w:pPr>
      <w:r w:rsidRPr="00A448B9">
        <w:t>Les élevages des fonds de vallée qui ne disposent pas de terrains et, en tout cas, ceux dont le rapport entre le chargement animal et la surface fourragère de l’exploitation est en déséquilibre sont considérés comme des élevages intensifs.</w:t>
      </w:r>
    </w:p>
    <w:p w:rsidR="007A4CC5" w:rsidRPr="00A448B9" w:rsidRDefault="007A4CC5" w:rsidP="007A4CC5">
      <w:pPr>
        <w:spacing w:before="120"/>
        <w:ind w:left="907"/>
      </w:pPr>
      <w:r w:rsidRPr="00A448B9">
        <w:t>Il y a déséquilibre dans les cas suivants :</w:t>
      </w:r>
    </w:p>
    <w:p w:rsidR="007A4CC5" w:rsidRPr="00A448B9" w:rsidRDefault="007A4CC5" w:rsidP="007A4CC5">
      <w:pPr>
        <w:pStyle w:val="Paragrafoelenco"/>
        <w:numPr>
          <w:ilvl w:val="2"/>
          <w:numId w:val="18"/>
        </w:numPr>
        <w:spacing w:before="120"/>
      </w:pPr>
      <w:r w:rsidRPr="00A448B9">
        <w:t>l’élevages a un chargement UGB/ha supérieur à 6 ;</w:t>
      </w:r>
    </w:p>
    <w:p w:rsidR="007A4CC5" w:rsidRPr="00A448B9" w:rsidRDefault="007A4CC5" w:rsidP="007A4CC5">
      <w:pPr>
        <w:pStyle w:val="Paragrafoelenco"/>
        <w:numPr>
          <w:ilvl w:val="2"/>
          <w:numId w:val="18"/>
        </w:numPr>
        <w:spacing w:before="120"/>
      </w:pPr>
      <w:r w:rsidRPr="00A448B9">
        <w:t>l’élevages a un rapport poids vif par hectare de terrain exploité pour la production des aliments supérieur à 40 quintaux.</w:t>
      </w:r>
    </w:p>
    <w:p w:rsidR="007A4CC5" w:rsidRPr="00A448B9" w:rsidRDefault="007A4CC5" w:rsidP="007A4CC5">
      <w:pPr>
        <w:numPr>
          <w:ilvl w:val="0"/>
          <w:numId w:val="17"/>
        </w:numPr>
        <w:shd w:val="clear" w:color="auto" w:fill="FFFFFF"/>
        <w:spacing w:before="120"/>
        <w:ind w:right="-27"/>
        <w:textAlignment w:val="baseline"/>
        <w:rPr>
          <w:lang w:eastAsia="fr-FR"/>
        </w:rPr>
      </w:pPr>
      <w:r w:rsidRPr="00A448B9">
        <w:lastRenderedPageBreak/>
        <w:t>Installations destinées à la production de métaux bruts non ferreux à partir de minerais, de concentrés de minerai ou de matières premières secondaires selon des procédés métallurgiques, chimiques ou électrolytiques.</w:t>
      </w:r>
    </w:p>
    <w:p w:rsidR="007A4CC5" w:rsidRPr="00A448B9" w:rsidRDefault="007A4CC5" w:rsidP="007A4CC5">
      <w:pPr>
        <w:numPr>
          <w:ilvl w:val="0"/>
          <w:numId w:val="17"/>
        </w:numPr>
        <w:shd w:val="clear" w:color="auto" w:fill="FFFFFF"/>
        <w:spacing w:before="120"/>
        <w:ind w:right="-27"/>
        <w:textAlignment w:val="baseline"/>
        <w:rPr>
          <w:lang w:eastAsia="fr-FR"/>
        </w:rPr>
      </w:pPr>
      <w:r w:rsidRPr="00A448B9">
        <w:t>Dispositifs de recharge artificielle des eaux souterraines lorsque le volume annuel d’eaux à recharger dépasse 10 millions de m</w:t>
      </w:r>
      <w:r w:rsidRPr="00A448B9">
        <w:rPr>
          <w:vertAlign w:val="superscript"/>
        </w:rPr>
        <w:t>3</w:t>
      </w:r>
      <w:r w:rsidRPr="00A448B9">
        <w:t>.</w:t>
      </w:r>
    </w:p>
    <w:p w:rsidR="007A4CC5" w:rsidRPr="00A448B9" w:rsidRDefault="007A4CC5" w:rsidP="007A4CC5">
      <w:pPr>
        <w:numPr>
          <w:ilvl w:val="0"/>
          <w:numId w:val="17"/>
        </w:numPr>
        <w:shd w:val="clear" w:color="auto" w:fill="FFFFFF"/>
        <w:spacing w:before="150" w:after="150" w:line="250" w:lineRule="atLeast"/>
        <w:ind w:right="-27"/>
        <w:textAlignment w:val="baseline"/>
        <w:rPr>
          <w:lang w:eastAsia="fr-FR"/>
        </w:rPr>
      </w:pPr>
      <w:r w:rsidRPr="00A448B9">
        <w:rPr>
          <w:lang w:eastAsia="fr-FR"/>
        </w:rPr>
        <w:t xml:space="preserve">Ouvrages servant au transvasement de ressources hydriques entre bassins versants lorsque cette opération vise à prévenir d’éventuelles pénuries d’eau et que le volume annuel des eaux transvasées dépasse 100 millions de </w:t>
      </w:r>
      <w:r w:rsidRPr="00A448B9">
        <w:t>m</w:t>
      </w:r>
      <w:r w:rsidRPr="00A448B9">
        <w:rPr>
          <w:vertAlign w:val="superscript"/>
        </w:rPr>
        <w:t>3</w:t>
      </w:r>
      <w:r w:rsidRPr="00A448B9">
        <w:rPr>
          <w:lang w:eastAsia="fr-FR"/>
        </w:rPr>
        <w:t xml:space="preserve">. Dans tous les autres cas, ouvrages servant au transvasement de ressources hydriques entre bassins versants lorsque le débit annuel moyen, sur plusieurs années, du bassin de prélèvement dépasse 100 millions de </w:t>
      </w:r>
      <w:r w:rsidRPr="00A448B9">
        <w:t>m</w:t>
      </w:r>
      <w:r w:rsidRPr="00A448B9">
        <w:rPr>
          <w:vertAlign w:val="superscript"/>
        </w:rPr>
        <w:t xml:space="preserve">3 </w:t>
      </w:r>
      <w:r w:rsidRPr="00A448B9">
        <w:rPr>
          <w:lang w:eastAsia="fr-FR"/>
        </w:rPr>
        <w:t>et que le volume des eaux transvasées dépasse 5 p. 100 de ce débit. Dans les deux cas, les transvasements d’eau potable amenée par canalisation sont exclus.</w:t>
      </w:r>
    </w:p>
    <w:p w:rsidR="007A4CC5" w:rsidRPr="00A448B9" w:rsidRDefault="007A4CC5" w:rsidP="007A4CC5">
      <w:pPr>
        <w:numPr>
          <w:ilvl w:val="0"/>
          <w:numId w:val="17"/>
        </w:numPr>
        <w:shd w:val="clear" w:color="auto" w:fill="FFFFFF"/>
        <w:spacing w:before="120"/>
        <w:ind w:right="-27"/>
        <w:textAlignment w:val="baseline"/>
        <w:rPr>
          <w:lang w:eastAsia="fr-FR"/>
        </w:rPr>
      </w:pPr>
      <w:r w:rsidRPr="00A448B9">
        <w:rPr>
          <w:lang w:eastAsia="fr-FR"/>
        </w:rPr>
        <w:t>Téléphériques bicâbles, funiculaires ou remontées mécaniques débrayables destinés à être aménagés sur des nouveaux tracés.</w:t>
      </w:r>
    </w:p>
    <w:p w:rsidR="007A4CC5" w:rsidRPr="00A448B9" w:rsidRDefault="007A4CC5" w:rsidP="007A4CC5">
      <w:pPr>
        <w:numPr>
          <w:ilvl w:val="0"/>
          <w:numId w:val="17"/>
        </w:numPr>
        <w:shd w:val="clear" w:color="auto" w:fill="FFFFFF"/>
        <w:spacing w:before="120"/>
        <w:ind w:right="-27"/>
        <w:textAlignment w:val="baseline"/>
        <w:rPr>
          <w:lang w:eastAsia="fr-FR"/>
        </w:rPr>
      </w:pPr>
      <w:r w:rsidRPr="00A448B9">
        <w:rPr>
          <w:lang w:eastAsia="fr-FR"/>
        </w:rPr>
        <w:t>Toute modification ou extension des projets énumérés ci-dessus, lorsque la modification ou l’extension en cause est, à elle seule, conforme aux limites correspondantes.</w:t>
      </w:r>
    </w:p>
    <w:p w:rsidR="00D654A2" w:rsidRDefault="00D654A2" w:rsidP="006C7786"/>
    <w:p w:rsidR="0043534B" w:rsidRDefault="0043534B" w:rsidP="006C7786"/>
    <w:p w:rsidR="0043534B" w:rsidRDefault="0043534B" w:rsidP="006C7786">
      <w:r>
        <w:t>_________________________</w:t>
      </w:r>
    </w:p>
    <w:p w:rsidR="0043534B" w:rsidRDefault="0043534B" w:rsidP="006C7786">
      <w:r>
        <w:t>(1) Annexe remplacé par l'annexe A du titre IV de la loi régionale n° 13 du 25 mai 2015 et, en suite, par l'alinéa 1</w:t>
      </w:r>
      <w:r w:rsidRPr="0043534B">
        <w:rPr>
          <w:vertAlign w:val="superscript"/>
        </w:rPr>
        <w:t>er</w:t>
      </w:r>
      <w:r>
        <w:t xml:space="preserve"> de l'article 16 de la loi régionale n. 3 du 20 mars 2018. </w:t>
      </w:r>
    </w:p>
    <w:p w:rsidR="0043534B" w:rsidRDefault="0043534B" w:rsidP="006C7786">
      <w:bookmarkStart w:id="0" w:name="_GoBack"/>
      <w:bookmarkEnd w:id="0"/>
    </w:p>
    <w:sectPr w:rsidR="0043534B">
      <w:footerReference w:type="even" r:id="rId8"/>
      <w:footerReference w:type="default" r:id="rId9"/>
      <w:type w:val="continuous"/>
      <w:pgSz w:w="11880" w:h="16820"/>
      <w:pgMar w:top="1134" w:right="1134" w:bottom="1134" w:left="1134"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C84" w:rsidRDefault="00220C84">
      <w:r>
        <w:separator/>
      </w:r>
    </w:p>
  </w:endnote>
  <w:endnote w:type="continuationSeparator" w:id="0">
    <w:p w:rsidR="00220C84" w:rsidRDefault="0022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0A4" w:rsidRDefault="001C30A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15</w:t>
    </w:r>
    <w:r>
      <w:rPr>
        <w:rStyle w:val="Numeropagina"/>
      </w:rPr>
      <w:fldChar w:fldCharType="end"/>
    </w:r>
  </w:p>
  <w:p w:rsidR="001C30A4" w:rsidRDefault="001C30A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0A4" w:rsidRDefault="001C30A4">
    <w:pPr>
      <w:pStyle w:val="Pidipagina"/>
      <w:jc w:val="right"/>
    </w:pPr>
    <w:r>
      <w:fldChar w:fldCharType="begin"/>
    </w:r>
    <w:r>
      <w:instrText>PAGE   \* MERGEFORMAT</w:instrText>
    </w:r>
    <w:r>
      <w:fldChar w:fldCharType="separate"/>
    </w:r>
    <w:r w:rsidR="0043534B" w:rsidRPr="0043534B">
      <w:rPr>
        <w:noProof/>
        <w:lang w:val="it-IT"/>
      </w:rPr>
      <w:t>2</w:t>
    </w:r>
    <w:r>
      <w:fldChar w:fldCharType="end"/>
    </w:r>
  </w:p>
  <w:p w:rsidR="001C30A4" w:rsidRDefault="001C30A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C84" w:rsidRDefault="00220C84">
      <w:r>
        <w:separator/>
      </w:r>
    </w:p>
  </w:footnote>
  <w:footnote w:type="continuationSeparator" w:id="0">
    <w:p w:rsidR="00220C84" w:rsidRDefault="00220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09B9"/>
    <w:multiLevelType w:val="hybridMultilevel"/>
    <w:tmpl w:val="7A44F0DA"/>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1" w15:restartNumberingAfterBreak="0">
    <w:nsid w:val="0B590865"/>
    <w:multiLevelType w:val="hybridMultilevel"/>
    <w:tmpl w:val="4FDACAF8"/>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2" w15:restartNumberingAfterBreak="0">
    <w:nsid w:val="0F2A61CC"/>
    <w:multiLevelType w:val="multilevel"/>
    <w:tmpl w:val="0E74D2F8"/>
    <w:lvl w:ilvl="0">
      <w:start w:val="3"/>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F633D"/>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FC0A26"/>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68362D"/>
    <w:multiLevelType w:val="multilevel"/>
    <w:tmpl w:val="1CF4141A"/>
    <w:lvl w:ilvl="0">
      <w:start w:val="2"/>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AB66DD9"/>
    <w:multiLevelType w:val="multilevel"/>
    <w:tmpl w:val="27124666"/>
    <w:lvl w:ilvl="0">
      <w:start w:val="5"/>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181004"/>
    <w:multiLevelType w:val="multilevel"/>
    <w:tmpl w:val="88EA05E4"/>
    <w:lvl w:ilvl="0">
      <w:start w:val="8"/>
      <w:numFmt w:val="decimal"/>
      <w:lvlText w:val="%1."/>
      <w:lvlJc w:val="left"/>
      <w:pPr>
        <w:tabs>
          <w:tab w:val="num" w:pos="0"/>
        </w:tabs>
        <w:ind w:left="397" w:hanging="397"/>
      </w:pPr>
      <w:rPr>
        <w:strike w:val="0"/>
        <w:dstrike w:val="0"/>
        <w:u w:val="none"/>
        <w:effect w:val="none"/>
      </w:r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872D44"/>
    <w:multiLevelType w:val="multilevel"/>
    <w:tmpl w:val="93328068"/>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077"/>
        </w:tabs>
        <w:ind w:left="1080" w:hanging="28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CE66AF6"/>
    <w:multiLevelType w:val="hybridMultilevel"/>
    <w:tmpl w:val="8014FC9A"/>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10" w15:restartNumberingAfterBreak="0">
    <w:nsid w:val="2353514E"/>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81B5CBB"/>
    <w:multiLevelType w:val="multilevel"/>
    <w:tmpl w:val="93328068"/>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077"/>
        </w:tabs>
        <w:ind w:left="1080" w:hanging="28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8EF0190"/>
    <w:multiLevelType w:val="multilevel"/>
    <w:tmpl w:val="171A90F2"/>
    <w:lvl w:ilvl="0">
      <w:start w:val="4"/>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97523DF"/>
    <w:multiLevelType w:val="multilevel"/>
    <w:tmpl w:val="0CA8DA0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B5D4CBE"/>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CDD4A75"/>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6E23E28"/>
    <w:multiLevelType w:val="multilevel"/>
    <w:tmpl w:val="DB782010"/>
    <w:lvl w:ilvl="0">
      <w:start w:val="7"/>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5A5026"/>
    <w:multiLevelType w:val="multilevel"/>
    <w:tmpl w:val="674640E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1C73922"/>
    <w:multiLevelType w:val="multilevel"/>
    <w:tmpl w:val="8B4A1C3A"/>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AF3905"/>
    <w:multiLevelType w:val="multilevel"/>
    <w:tmpl w:val="0F10341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B3E5C6A"/>
    <w:multiLevelType w:val="hybridMultilevel"/>
    <w:tmpl w:val="68807480"/>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21" w15:restartNumberingAfterBreak="0">
    <w:nsid w:val="4D920F41"/>
    <w:multiLevelType w:val="hybridMultilevel"/>
    <w:tmpl w:val="AE824EBA"/>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22" w15:restartNumberingAfterBreak="0">
    <w:nsid w:val="51AB50B4"/>
    <w:multiLevelType w:val="multilevel"/>
    <w:tmpl w:val="36AA7D26"/>
    <w:lvl w:ilvl="0">
      <w:start w:val="1"/>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4438A1"/>
    <w:multiLevelType w:val="multilevel"/>
    <w:tmpl w:val="443C365A"/>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bullet"/>
      <w:lvlText w:val=""/>
      <w:lvlJc w:val="left"/>
      <w:pPr>
        <w:tabs>
          <w:tab w:val="num" w:pos="1134"/>
        </w:tabs>
        <w:ind w:left="1134" w:hanging="227"/>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B615AC"/>
    <w:multiLevelType w:val="multilevel"/>
    <w:tmpl w:val="85CC7BD2"/>
    <w:lvl w:ilvl="0">
      <w:start w:val="4"/>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6413303"/>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64A172E"/>
    <w:multiLevelType w:val="multilevel"/>
    <w:tmpl w:val="A9C09F12"/>
    <w:lvl w:ilvl="0">
      <w:start w:val="1"/>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033CE0"/>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FE75D33"/>
    <w:multiLevelType w:val="multilevel"/>
    <w:tmpl w:val="0CA8DA0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49D18FC"/>
    <w:multiLevelType w:val="hybridMultilevel"/>
    <w:tmpl w:val="821A9B68"/>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0" w15:restartNumberingAfterBreak="0">
    <w:nsid w:val="66E228F2"/>
    <w:multiLevelType w:val="hybridMultilevel"/>
    <w:tmpl w:val="EB2EF608"/>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1" w15:restartNumberingAfterBreak="0">
    <w:nsid w:val="68B36E85"/>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A395FC8"/>
    <w:multiLevelType w:val="multilevel"/>
    <w:tmpl w:val="7F14A2B0"/>
    <w:lvl w:ilvl="0">
      <w:start w:val="4"/>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6E5BB7"/>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B8231C2"/>
    <w:multiLevelType w:val="hybridMultilevel"/>
    <w:tmpl w:val="68807480"/>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5" w15:restartNumberingAfterBreak="0">
    <w:nsid w:val="6F7C3E2F"/>
    <w:multiLevelType w:val="multilevel"/>
    <w:tmpl w:val="93328068"/>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077"/>
        </w:tabs>
        <w:ind w:left="1080" w:hanging="28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FC650F9"/>
    <w:multiLevelType w:val="hybridMultilevel"/>
    <w:tmpl w:val="821A9B68"/>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7" w15:restartNumberingAfterBreak="0">
    <w:nsid w:val="72F0400B"/>
    <w:multiLevelType w:val="hybridMultilevel"/>
    <w:tmpl w:val="68807480"/>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8" w15:restartNumberingAfterBreak="0">
    <w:nsid w:val="73F84688"/>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4273EC0"/>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AC366B0"/>
    <w:multiLevelType w:val="multilevel"/>
    <w:tmpl w:val="4B2C3EE2"/>
    <w:lvl w:ilvl="0">
      <w:start w:val="3"/>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B8F7594"/>
    <w:multiLevelType w:val="multilevel"/>
    <w:tmpl w:val="46F6C876"/>
    <w:lvl w:ilvl="0">
      <w:start w:val="6"/>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080113"/>
    <w:multiLevelType w:val="hybridMultilevel"/>
    <w:tmpl w:val="BD224E6A"/>
    <w:lvl w:ilvl="0" w:tplc="04100011">
      <w:start w:val="1"/>
      <w:numFmt w:val="decimal"/>
      <w:lvlText w:val="%1)"/>
      <w:lvlJc w:val="left"/>
      <w:pPr>
        <w:ind w:left="1270" w:hanging="360"/>
      </w:pPr>
    </w:lvl>
    <w:lvl w:ilvl="1" w:tplc="040C0019">
      <w:start w:val="1"/>
      <w:numFmt w:val="lowerLetter"/>
      <w:lvlText w:val="%2."/>
      <w:lvlJc w:val="left"/>
      <w:pPr>
        <w:ind w:left="1990" w:hanging="360"/>
      </w:pPr>
    </w:lvl>
    <w:lvl w:ilvl="2" w:tplc="040C001B">
      <w:start w:val="1"/>
      <w:numFmt w:val="lowerRoman"/>
      <w:lvlText w:val="%3."/>
      <w:lvlJc w:val="right"/>
      <w:pPr>
        <w:ind w:left="2710" w:hanging="180"/>
      </w:pPr>
    </w:lvl>
    <w:lvl w:ilvl="3" w:tplc="040C000F">
      <w:start w:val="1"/>
      <w:numFmt w:val="decimal"/>
      <w:lvlText w:val="%4."/>
      <w:lvlJc w:val="left"/>
      <w:pPr>
        <w:ind w:left="3430" w:hanging="360"/>
      </w:pPr>
    </w:lvl>
    <w:lvl w:ilvl="4" w:tplc="040C0019">
      <w:start w:val="1"/>
      <w:numFmt w:val="lowerLetter"/>
      <w:lvlText w:val="%5."/>
      <w:lvlJc w:val="left"/>
      <w:pPr>
        <w:ind w:left="4150" w:hanging="360"/>
      </w:pPr>
    </w:lvl>
    <w:lvl w:ilvl="5" w:tplc="040C001B">
      <w:start w:val="1"/>
      <w:numFmt w:val="lowerRoman"/>
      <w:lvlText w:val="%6."/>
      <w:lvlJc w:val="right"/>
      <w:pPr>
        <w:ind w:left="4870" w:hanging="180"/>
      </w:pPr>
    </w:lvl>
    <w:lvl w:ilvl="6" w:tplc="040C000F">
      <w:start w:val="1"/>
      <w:numFmt w:val="decimal"/>
      <w:lvlText w:val="%7."/>
      <w:lvlJc w:val="left"/>
      <w:pPr>
        <w:ind w:left="5590" w:hanging="360"/>
      </w:pPr>
    </w:lvl>
    <w:lvl w:ilvl="7" w:tplc="040C0019">
      <w:start w:val="1"/>
      <w:numFmt w:val="lowerLetter"/>
      <w:lvlText w:val="%8."/>
      <w:lvlJc w:val="left"/>
      <w:pPr>
        <w:ind w:left="6310" w:hanging="360"/>
      </w:pPr>
    </w:lvl>
    <w:lvl w:ilvl="8" w:tplc="040C001B">
      <w:start w:val="1"/>
      <w:numFmt w:val="lowerRoman"/>
      <w:lvlText w:val="%9."/>
      <w:lvlJc w:val="right"/>
      <w:pPr>
        <w:ind w:left="7030" w:hanging="180"/>
      </w:pPr>
    </w:lvl>
  </w:abstractNum>
  <w:abstractNum w:abstractNumId="43" w15:restartNumberingAfterBreak="0">
    <w:nsid w:val="7E8B7677"/>
    <w:multiLevelType w:val="hybridMultilevel"/>
    <w:tmpl w:val="AE824EBA"/>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44" w15:restartNumberingAfterBreak="0">
    <w:nsid w:val="7EC10EDB"/>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13"/>
  </w:num>
  <w:num w:numId="3">
    <w:abstractNumId w:val="25"/>
  </w:num>
  <w:num w:numId="4">
    <w:abstractNumId w:val="14"/>
  </w:num>
  <w:num w:numId="5">
    <w:abstractNumId w:val="19"/>
  </w:num>
  <w:num w:numId="6">
    <w:abstractNumId w:val="39"/>
  </w:num>
  <w:num w:numId="7">
    <w:abstractNumId w:val="28"/>
  </w:num>
  <w:num w:numId="8">
    <w:abstractNumId w:val="38"/>
  </w:num>
  <w:num w:numId="9">
    <w:abstractNumId w:val="4"/>
  </w:num>
  <w:num w:numId="10">
    <w:abstractNumId w:val="15"/>
  </w:num>
  <w:num w:numId="11">
    <w:abstractNumId w:val="44"/>
  </w:num>
  <w:num w:numId="12">
    <w:abstractNumId w:val="3"/>
  </w:num>
  <w:num w:numId="13">
    <w:abstractNumId w:val="27"/>
  </w:num>
  <w:num w:numId="14">
    <w:abstractNumId w:val="31"/>
  </w:num>
  <w:num w:numId="15">
    <w:abstractNumId w:val="10"/>
  </w:num>
  <w:num w:numId="16">
    <w:abstractNumId w:val="33"/>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 w:ilvl="0">
        <w:start w:val="2"/>
        <w:numFmt w:val="decimal"/>
        <w:lvlText w:val="%1."/>
        <w:lvlJc w:val="left"/>
        <w:pPr>
          <w:tabs>
            <w:tab w:val="num" w:pos="454"/>
          </w:tabs>
          <w:ind w:left="454" w:hanging="454"/>
        </w:pPr>
      </w:lvl>
    </w:lvlOverride>
    <w:lvlOverride w:ilvl="1">
      <w:lvl w:ilvl="1">
        <w:start w:val="1"/>
        <w:numFmt w:val="lowerLetter"/>
        <w:lvlText w:val="%2)"/>
        <w:lvlJc w:val="left"/>
        <w:pPr>
          <w:tabs>
            <w:tab w:val="num" w:pos="907"/>
          </w:tabs>
          <w:ind w:left="907" w:hanging="453"/>
        </w:pPr>
        <w:rPr>
          <w:rFonts w:ascii="Times New Roman" w:hAnsi="Times New Roman" w:cs="Times New Roman" w:hint="default"/>
          <w:sz w:val="24"/>
        </w:rPr>
      </w:lvl>
    </w:lvlOverride>
    <w:lvlOverride w:ilvl="2">
      <w:lvl w:ilvl="2">
        <w:start w:val="1"/>
        <w:numFmt w:val="decimal"/>
        <w:lvlText w:val="%3)"/>
        <w:lvlJc w:val="left"/>
        <w:pPr>
          <w:tabs>
            <w:tab w:val="num" w:pos="1361"/>
          </w:tabs>
          <w:ind w:left="1361" w:hanging="454"/>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 w:ilvl="0">
        <w:start w:val="1"/>
        <w:numFmt w:val="decimal"/>
        <w:lvlText w:val="%1."/>
        <w:lvlJc w:val="left"/>
        <w:pPr>
          <w:tabs>
            <w:tab w:val="num" w:pos="0"/>
          </w:tabs>
          <w:ind w:left="397" w:hanging="397"/>
        </w:pPr>
      </w:lvl>
    </w:lvlOverride>
    <w:lvlOverride w:ilvl="1">
      <w:lvl w:ilvl="1">
        <w:start w:val="1"/>
        <w:numFmt w:val="lowerLetter"/>
        <w:lvlText w:val="%2)"/>
        <w:lvlJc w:val="left"/>
        <w:pPr>
          <w:tabs>
            <w:tab w:val="num" w:pos="397"/>
          </w:tabs>
          <w:ind w:left="794" w:hanging="397"/>
        </w:pPr>
      </w:lvl>
    </w:lvlOverride>
    <w:lvlOverride w:ilvl="2">
      <w:lvl w:ilvl="2">
        <w:start w:val="1"/>
        <w:numFmt w:val="decimal"/>
        <w:lvlRestart w:val="0"/>
        <w:lvlText w:val="%3)"/>
        <w:lvlJc w:val="left"/>
        <w:pPr>
          <w:tabs>
            <w:tab w:val="num" w:pos="794"/>
          </w:tabs>
          <w:ind w:left="1191" w:hanging="397"/>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fr-FR"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90"/>
    <w:rsid w:val="00000316"/>
    <w:rsid w:val="00000363"/>
    <w:rsid w:val="00000D5D"/>
    <w:rsid w:val="0000286C"/>
    <w:rsid w:val="000032B2"/>
    <w:rsid w:val="000041AD"/>
    <w:rsid w:val="000045E2"/>
    <w:rsid w:val="00004EB6"/>
    <w:rsid w:val="00005B55"/>
    <w:rsid w:val="00006011"/>
    <w:rsid w:val="0000649F"/>
    <w:rsid w:val="00006578"/>
    <w:rsid w:val="00010603"/>
    <w:rsid w:val="00011213"/>
    <w:rsid w:val="0001253C"/>
    <w:rsid w:val="00012760"/>
    <w:rsid w:val="00015F53"/>
    <w:rsid w:val="00020D8A"/>
    <w:rsid w:val="00021973"/>
    <w:rsid w:val="00024C2E"/>
    <w:rsid w:val="000274DC"/>
    <w:rsid w:val="00027AED"/>
    <w:rsid w:val="00030133"/>
    <w:rsid w:val="000310BA"/>
    <w:rsid w:val="00032C0F"/>
    <w:rsid w:val="00032F95"/>
    <w:rsid w:val="00033853"/>
    <w:rsid w:val="00036E22"/>
    <w:rsid w:val="00037FB7"/>
    <w:rsid w:val="00042AB3"/>
    <w:rsid w:val="0004317E"/>
    <w:rsid w:val="000455B6"/>
    <w:rsid w:val="0004637F"/>
    <w:rsid w:val="000464E4"/>
    <w:rsid w:val="000517A7"/>
    <w:rsid w:val="0005377E"/>
    <w:rsid w:val="00054F7D"/>
    <w:rsid w:val="00055E93"/>
    <w:rsid w:val="00056023"/>
    <w:rsid w:val="00056502"/>
    <w:rsid w:val="00060B28"/>
    <w:rsid w:val="00061424"/>
    <w:rsid w:val="00061D88"/>
    <w:rsid w:val="0006346A"/>
    <w:rsid w:val="00065275"/>
    <w:rsid w:val="00066B44"/>
    <w:rsid w:val="00066F0A"/>
    <w:rsid w:val="00070AD4"/>
    <w:rsid w:val="00073BF4"/>
    <w:rsid w:val="00073E99"/>
    <w:rsid w:val="000741FA"/>
    <w:rsid w:val="00074846"/>
    <w:rsid w:val="00075009"/>
    <w:rsid w:val="00081407"/>
    <w:rsid w:val="00081766"/>
    <w:rsid w:val="00081A13"/>
    <w:rsid w:val="00081DCA"/>
    <w:rsid w:val="00082885"/>
    <w:rsid w:val="00082FC4"/>
    <w:rsid w:val="000832A4"/>
    <w:rsid w:val="0008331F"/>
    <w:rsid w:val="0008359B"/>
    <w:rsid w:val="00083F02"/>
    <w:rsid w:val="000840DF"/>
    <w:rsid w:val="0008429E"/>
    <w:rsid w:val="000847A5"/>
    <w:rsid w:val="00084E29"/>
    <w:rsid w:val="000853BB"/>
    <w:rsid w:val="000861CA"/>
    <w:rsid w:val="000906C2"/>
    <w:rsid w:val="00090947"/>
    <w:rsid w:val="0009123F"/>
    <w:rsid w:val="000917C4"/>
    <w:rsid w:val="000924FF"/>
    <w:rsid w:val="00095614"/>
    <w:rsid w:val="00095B36"/>
    <w:rsid w:val="00096B0C"/>
    <w:rsid w:val="00097180"/>
    <w:rsid w:val="00097B8F"/>
    <w:rsid w:val="00097D93"/>
    <w:rsid w:val="000A1C43"/>
    <w:rsid w:val="000A1F25"/>
    <w:rsid w:val="000A2277"/>
    <w:rsid w:val="000A3331"/>
    <w:rsid w:val="000A3DD7"/>
    <w:rsid w:val="000A4FF2"/>
    <w:rsid w:val="000A57F8"/>
    <w:rsid w:val="000A696D"/>
    <w:rsid w:val="000A6EB7"/>
    <w:rsid w:val="000A7237"/>
    <w:rsid w:val="000B01EB"/>
    <w:rsid w:val="000B0B67"/>
    <w:rsid w:val="000B2D8F"/>
    <w:rsid w:val="000B3B65"/>
    <w:rsid w:val="000B44E1"/>
    <w:rsid w:val="000B4BA7"/>
    <w:rsid w:val="000B5E3D"/>
    <w:rsid w:val="000B6333"/>
    <w:rsid w:val="000B64F7"/>
    <w:rsid w:val="000B6538"/>
    <w:rsid w:val="000B686F"/>
    <w:rsid w:val="000B7602"/>
    <w:rsid w:val="000B785A"/>
    <w:rsid w:val="000C0308"/>
    <w:rsid w:val="000C32FB"/>
    <w:rsid w:val="000C35DD"/>
    <w:rsid w:val="000C4130"/>
    <w:rsid w:val="000C4EC3"/>
    <w:rsid w:val="000C6029"/>
    <w:rsid w:val="000C6C00"/>
    <w:rsid w:val="000D00A8"/>
    <w:rsid w:val="000D0F26"/>
    <w:rsid w:val="000D0FE9"/>
    <w:rsid w:val="000D1202"/>
    <w:rsid w:val="000D1AD2"/>
    <w:rsid w:val="000D2AB8"/>
    <w:rsid w:val="000D3FC2"/>
    <w:rsid w:val="000D5B30"/>
    <w:rsid w:val="000E0AF0"/>
    <w:rsid w:val="000E44A5"/>
    <w:rsid w:val="000E5301"/>
    <w:rsid w:val="000E618E"/>
    <w:rsid w:val="000E64D8"/>
    <w:rsid w:val="000E6DA6"/>
    <w:rsid w:val="000E70A3"/>
    <w:rsid w:val="000E754C"/>
    <w:rsid w:val="000F01C7"/>
    <w:rsid w:val="000F21CE"/>
    <w:rsid w:val="000F2359"/>
    <w:rsid w:val="000F2EDC"/>
    <w:rsid w:val="000F3A84"/>
    <w:rsid w:val="000F415E"/>
    <w:rsid w:val="000F435B"/>
    <w:rsid w:val="000F487E"/>
    <w:rsid w:val="000F4F2C"/>
    <w:rsid w:val="000F5781"/>
    <w:rsid w:val="000F7547"/>
    <w:rsid w:val="000F7C93"/>
    <w:rsid w:val="001010B0"/>
    <w:rsid w:val="00102013"/>
    <w:rsid w:val="001027B2"/>
    <w:rsid w:val="0010430F"/>
    <w:rsid w:val="00104361"/>
    <w:rsid w:val="0010447B"/>
    <w:rsid w:val="00105019"/>
    <w:rsid w:val="0010505B"/>
    <w:rsid w:val="00107015"/>
    <w:rsid w:val="00107842"/>
    <w:rsid w:val="00107C30"/>
    <w:rsid w:val="0011015E"/>
    <w:rsid w:val="001105C4"/>
    <w:rsid w:val="001109D4"/>
    <w:rsid w:val="00110A7F"/>
    <w:rsid w:val="00110B8E"/>
    <w:rsid w:val="001114AA"/>
    <w:rsid w:val="0011199B"/>
    <w:rsid w:val="00112DA0"/>
    <w:rsid w:val="00113597"/>
    <w:rsid w:val="00114818"/>
    <w:rsid w:val="00120B52"/>
    <w:rsid w:val="00120DF9"/>
    <w:rsid w:val="001219BE"/>
    <w:rsid w:val="001230B3"/>
    <w:rsid w:val="00123B28"/>
    <w:rsid w:val="00123B63"/>
    <w:rsid w:val="00124967"/>
    <w:rsid w:val="0012562E"/>
    <w:rsid w:val="00125821"/>
    <w:rsid w:val="00127BD2"/>
    <w:rsid w:val="0013101A"/>
    <w:rsid w:val="001312EA"/>
    <w:rsid w:val="00133D38"/>
    <w:rsid w:val="00135464"/>
    <w:rsid w:val="00135FEF"/>
    <w:rsid w:val="00136CF7"/>
    <w:rsid w:val="0013770A"/>
    <w:rsid w:val="00137C21"/>
    <w:rsid w:val="0014028A"/>
    <w:rsid w:val="0014083D"/>
    <w:rsid w:val="001414E1"/>
    <w:rsid w:val="00141DCB"/>
    <w:rsid w:val="00143D75"/>
    <w:rsid w:val="00145B73"/>
    <w:rsid w:val="00146196"/>
    <w:rsid w:val="0015082C"/>
    <w:rsid w:val="0015091B"/>
    <w:rsid w:val="00150AFD"/>
    <w:rsid w:val="001510FA"/>
    <w:rsid w:val="00152A73"/>
    <w:rsid w:val="0015407E"/>
    <w:rsid w:val="00156061"/>
    <w:rsid w:val="001579F0"/>
    <w:rsid w:val="00160571"/>
    <w:rsid w:val="00161C64"/>
    <w:rsid w:val="00162D5B"/>
    <w:rsid w:val="00163350"/>
    <w:rsid w:val="00163A4E"/>
    <w:rsid w:val="00164BDB"/>
    <w:rsid w:val="00164C7D"/>
    <w:rsid w:val="001652CA"/>
    <w:rsid w:val="00167FF0"/>
    <w:rsid w:val="00170349"/>
    <w:rsid w:val="00172261"/>
    <w:rsid w:val="00172823"/>
    <w:rsid w:val="0017790A"/>
    <w:rsid w:val="0018118A"/>
    <w:rsid w:val="00181503"/>
    <w:rsid w:val="001818D8"/>
    <w:rsid w:val="00181EFF"/>
    <w:rsid w:val="0018225F"/>
    <w:rsid w:val="001858E1"/>
    <w:rsid w:val="00186E28"/>
    <w:rsid w:val="00186E67"/>
    <w:rsid w:val="001906B8"/>
    <w:rsid w:val="00190999"/>
    <w:rsid w:val="001918C4"/>
    <w:rsid w:val="00191D81"/>
    <w:rsid w:val="00191DB0"/>
    <w:rsid w:val="001928B4"/>
    <w:rsid w:val="001949BC"/>
    <w:rsid w:val="00194C63"/>
    <w:rsid w:val="00195004"/>
    <w:rsid w:val="001A09D4"/>
    <w:rsid w:val="001A16C6"/>
    <w:rsid w:val="001A2ECD"/>
    <w:rsid w:val="001A4C46"/>
    <w:rsid w:val="001A4FBC"/>
    <w:rsid w:val="001A720A"/>
    <w:rsid w:val="001A76A1"/>
    <w:rsid w:val="001A7961"/>
    <w:rsid w:val="001A7D00"/>
    <w:rsid w:val="001B01DF"/>
    <w:rsid w:val="001B0590"/>
    <w:rsid w:val="001B2F52"/>
    <w:rsid w:val="001B30FE"/>
    <w:rsid w:val="001B3CC6"/>
    <w:rsid w:val="001B406F"/>
    <w:rsid w:val="001C0092"/>
    <w:rsid w:val="001C08FB"/>
    <w:rsid w:val="001C0C9D"/>
    <w:rsid w:val="001C165F"/>
    <w:rsid w:val="001C2B83"/>
    <w:rsid w:val="001C2C2E"/>
    <w:rsid w:val="001C30A4"/>
    <w:rsid w:val="001C3322"/>
    <w:rsid w:val="001C373E"/>
    <w:rsid w:val="001C541E"/>
    <w:rsid w:val="001C55BC"/>
    <w:rsid w:val="001C5C2B"/>
    <w:rsid w:val="001C61BB"/>
    <w:rsid w:val="001C64D2"/>
    <w:rsid w:val="001D0D85"/>
    <w:rsid w:val="001D10D3"/>
    <w:rsid w:val="001D1FE7"/>
    <w:rsid w:val="001D25C7"/>
    <w:rsid w:val="001D2790"/>
    <w:rsid w:val="001D2CD2"/>
    <w:rsid w:val="001D32E2"/>
    <w:rsid w:val="001D3FA3"/>
    <w:rsid w:val="001D5B7C"/>
    <w:rsid w:val="001D6F49"/>
    <w:rsid w:val="001E06E4"/>
    <w:rsid w:val="001E37B9"/>
    <w:rsid w:val="001E3D90"/>
    <w:rsid w:val="001E402C"/>
    <w:rsid w:val="001E44B9"/>
    <w:rsid w:val="001E656A"/>
    <w:rsid w:val="001E66D5"/>
    <w:rsid w:val="001E6D2D"/>
    <w:rsid w:val="001E7141"/>
    <w:rsid w:val="001E7ACE"/>
    <w:rsid w:val="001F0D9C"/>
    <w:rsid w:val="001F0FC1"/>
    <w:rsid w:val="001F2084"/>
    <w:rsid w:val="001F2406"/>
    <w:rsid w:val="001F3010"/>
    <w:rsid w:val="001F33C5"/>
    <w:rsid w:val="001F40B6"/>
    <w:rsid w:val="001F430E"/>
    <w:rsid w:val="001F43AB"/>
    <w:rsid w:val="001F4AAB"/>
    <w:rsid w:val="001F621B"/>
    <w:rsid w:val="001F70A4"/>
    <w:rsid w:val="00200234"/>
    <w:rsid w:val="0020033D"/>
    <w:rsid w:val="00200EC3"/>
    <w:rsid w:val="00201087"/>
    <w:rsid w:val="00201DBC"/>
    <w:rsid w:val="0020236E"/>
    <w:rsid w:val="002023AE"/>
    <w:rsid w:val="00202727"/>
    <w:rsid w:val="00203690"/>
    <w:rsid w:val="0020401B"/>
    <w:rsid w:val="00206783"/>
    <w:rsid w:val="0020684F"/>
    <w:rsid w:val="00206864"/>
    <w:rsid w:val="002070A4"/>
    <w:rsid w:val="00210A83"/>
    <w:rsid w:val="002111F3"/>
    <w:rsid w:val="00211564"/>
    <w:rsid w:val="00212EAE"/>
    <w:rsid w:val="00213CE5"/>
    <w:rsid w:val="00217161"/>
    <w:rsid w:val="00217EB9"/>
    <w:rsid w:val="00217F53"/>
    <w:rsid w:val="00220C84"/>
    <w:rsid w:val="00221FC6"/>
    <w:rsid w:val="00223427"/>
    <w:rsid w:val="00224758"/>
    <w:rsid w:val="002252D7"/>
    <w:rsid w:val="00226452"/>
    <w:rsid w:val="002273B7"/>
    <w:rsid w:val="00230DD5"/>
    <w:rsid w:val="002334D7"/>
    <w:rsid w:val="00233DD5"/>
    <w:rsid w:val="00234539"/>
    <w:rsid w:val="00235ADC"/>
    <w:rsid w:val="00235C45"/>
    <w:rsid w:val="002400AA"/>
    <w:rsid w:val="002405CF"/>
    <w:rsid w:val="00240C9B"/>
    <w:rsid w:val="00242AD9"/>
    <w:rsid w:val="00242CE5"/>
    <w:rsid w:val="002430D4"/>
    <w:rsid w:val="00244159"/>
    <w:rsid w:val="002453B2"/>
    <w:rsid w:val="00245D3B"/>
    <w:rsid w:val="00245DDE"/>
    <w:rsid w:val="00246C83"/>
    <w:rsid w:val="00246D3D"/>
    <w:rsid w:val="00247978"/>
    <w:rsid w:val="00250B6C"/>
    <w:rsid w:val="0025200A"/>
    <w:rsid w:val="00253CD1"/>
    <w:rsid w:val="00253CD9"/>
    <w:rsid w:val="002546EA"/>
    <w:rsid w:val="00255944"/>
    <w:rsid w:val="00256501"/>
    <w:rsid w:val="00256510"/>
    <w:rsid w:val="00256BF4"/>
    <w:rsid w:val="0025792D"/>
    <w:rsid w:val="00260CC7"/>
    <w:rsid w:val="002616EC"/>
    <w:rsid w:val="0026326D"/>
    <w:rsid w:val="00263855"/>
    <w:rsid w:val="00263CBE"/>
    <w:rsid w:val="0026687E"/>
    <w:rsid w:val="00266D41"/>
    <w:rsid w:val="00266F3B"/>
    <w:rsid w:val="0026710D"/>
    <w:rsid w:val="0027127E"/>
    <w:rsid w:val="00271BFC"/>
    <w:rsid w:val="0027247D"/>
    <w:rsid w:val="0027325A"/>
    <w:rsid w:val="002734C4"/>
    <w:rsid w:val="00273EEF"/>
    <w:rsid w:val="00274372"/>
    <w:rsid w:val="002747A7"/>
    <w:rsid w:val="0027481D"/>
    <w:rsid w:val="00276578"/>
    <w:rsid w:val="0027776B"/>
    <w:rsid w:val="00280D2F"/>
    <w:rsid w:val="00283E84"/>
    <w:rsid w:val="00285896"/>
    <w:rsid w:val="00285BA8"/>
    <w:rsid w:val="00285D07"/>
    <w:rsid w:val="00286EE5"/>
    <w:rsid w:val="002927D5"/>
    <w:rsid w:val="00294410"/>
    <w:rsid w:val="00295126"/>
    <w:rsid w:val="002965BA"/>
    <w:rsid w:val="00297FB0"/>
    <w:rsid w:val="002A0AF7"/>
    <w:rsid w:val="002A0FCE"/>
    <w:rsid w:val="002A17A4"/>
    <w:rsid w:val="002A2CF3"/>
    <w:rsid w:val="002A3A6E"/>
    <w:rsid w:val="002A42D0"/>
    <w:rsid w:val="002A4389"/>
    <w:rsid w:val="002A70C5"/>
    <w:rsid w:val="002A70D2"/>
    <w:rsid w:val="002A78F5"/>
    <w:rsid w:val="002A7D13"/>
    <w:rsid w:val="002B0921"/>
    <w:rsid w:val="002B1350"/>
    <w:rsid w:val="002B1FDC"/>
    <w:rsid w:val="002B22E8"/>
    <w:rsid w:val="002B2481"/>
    <w:rsid w:val="002B25EA"/>
    <w:rsid w:val="002B6F8D"/>
    <w:rsid w:val="002B7CA9"/>
    <w:rsid w:val="002C060E"/>
    <w:rsid w:val="002C238D"/>
    <w:rsid w:val="002C25D4"/>
    <w:rsid w:val="002C2DDA"/>
    <w:rsid w:val="002C3F1E"/>
    <w:rsid w:val="002C47EE"/>
    <w:rsid w:val="002C4DF9"/>
    <w:rsid w:val="002C67A1"/>
    <w:rsid w:val="002C76F5"/>
    <w:rsid w:val="002C7717"/>
    <w:rsid w:val="002C7EAE"/>
    <w:rsid w:val="002D046F"/>
    <w:rsid w:val="002D4A97"/>
    <w:rsid w:val="002D4FFA"/>
    <w:rsid w:val="002D761C"/>
    <w:rsid w:val="002E0CC8"/>
    <w:rsid w:val="002E2D45"/>
    <w:rsid w:val="002E4203"/>
    <w:rsid w:val="002E42A4"/>
    <w:rsid w:val="002F0475"/>
    <w:rsid w:val="002F13CC"/>
    <w:rsid w:val="002F2A83"/>
    <w:rsid w:val="002F2B59"/>
    <w:rsid w:val="002F3578"/>
    <w:rsid w:val="002F474D"/>
    <w:rsid w:val="002F4AB6"/>
    <w:rsid w:val="002F516A"/>
    <w:rsid w:val="002F5328"/>
    <w:rsid w:val="002F555D"/>
    <w:rsid w:val="002F6487"/>
    <w:rsid w:val="00300CF9"/>
    <w:rsid w:val="00301F41"/>
    <w:rsid w:val="003021FE"/>
    <w:rsid w:val="00303246"/>
    <w:rsid w:val="003063C4"/>
    <w:rsid w:val="00306810"/>
    <w:rsid w:val="00307A0E"/>
    <w:rsid w:val="003103FB"/>
    <w:rsid w:val="0031057F"/>
    <w:rsid w:val="003133CF"/>
    <w:rsid w:val="0031393D"/>
    <w:rsid w:val="00314200"/>
    <w:rsid w:val="003145A4"/>
    <w:rsid w:val="003148F8"/>
    <w:rsid w:val="003155F0"/>
    <w:rsid w:val="00315986"/>
    <w:rsid w:val="00317D73"/>
    <w:rsid w:val="00322E0D"/>
    <w:rsid w:val="003256EC"/>
    <w:rsid w:val="00325E2D"/>
    <w:rsid w:val="00326328"/>
    <w:rsid w:val="00326A8A"/>
    <w:rsid w:val="00327EA5"/>
    <w:rsid w:val="00330675"/>
    <w:rsid w:val="003319E4"/>
    <w:rsid w:val="00332EC7"/>
    <w:rsid w:val="00333767"/>
    <w:rsid w:val="003340E6"/>
    <w:rsid w:val="00334BE3"/>
    <w:rsid w:val="00334D96"/>
    <w:rsid w:val="00337258"/>
    <w:rsid w:val="00337F98"/>
    <w:rsid w:val="00341AEB"/>
    <w:rsid w:val="00342429"/>
    <w:rsid w:val="00344370"/>
    <w:rsid w:val="00344E78"/>
    <w:rsid w:val="00345A58"/>
    <w:rsid w:val="003466B8"/>
    <w:rsid w:val="00346EDD"/>
    <w:rsid w:val="00347F25"/>
    <w:rsid w:val="003502B0"/>
    <w:rsid w:val="003511BB"/>
    <w:rsid w:val="0035123B"/>
    <w:rsid w:val="00351413"/>
    <w:rsid w:val="00351DE6"/>
    <w:rsid w:val="00353142"/>
    <w:rsid w:val="00354750"/>
    <w:rsid w:val="00354E78"/>
    <w:rsid w:val="003557D9"/>
    <w:rsid w:val="00357DF0"/>
    <w:rsid w:val="00357F75"/>
    <w:rsid w:val="003618F1"/>
    <w:rsid w:val="00361D77"/>
    <w:rsid w:val="00362F6F"/>
    <w:rsid w:val="003646D4"/>
    <w:rsid w:val="0036490F"/>
    <w:rsid w:val="003678FC"/>
    <w:rsid w:val="00367C7A"/>
    <w:rsid w:val="003741EC"/>
    <w:rsid w:val="00374575"/>
    <w:rsid w:val="00374B88"/>
    <w:rsid w:val="003758F3"/>
    <w:rsid w:val="00375925"/>
    <w:rsid w:val="00376A6A"/>
    <w:rsid w:val="00376F47"/>
    <w:rsid w:val="00377DF5"/>
    <w:rsid w:val="00377FF3"/>
    <w:rsid w:val="00381E8E"/>
    <w:rsid w:val="00382222"/>
    <w:rsid w:val="00384DD7"/>
    <w:rsid w:val="00385BC6"/>
    <w:rsid w:val="00387162"/>
    <w:rsid w:val="00387528"/>
    <w:rsid w:val="003877D9"/>
    <w:rsid w:val="003878F5"/>
    <w:rsid w:val="00390AD3"/>
    <w:rsid w:val="0039103C"/>
    <w:rsid w:val="00393E04"/>
    <w:rsid w:val="00393F0E"/>
    <w:rsid w:val="0039415B"/>
    <w:rsid w:val="00394975"/>
    <w:rsid w:val="00395F94"/>
    <w:rsid w:val="00396DA9"/>
    <w:rsid w:val="00397A82"/>
    <w:rsid w:val="003A13A5"/>
    <w:rsid w:val="003A24C2"/>
    <w:rsid w:val="003A5B8A"/>
    <w:rsid w:val="003A66B8"/>
    <w:rsid w:val="003A7100"/>
    <w:rsid w:val="003B2269"/>
    <w:rsid w:val="003B584A"/>
    <w:rsid w:val="003B5996"/>
    <w:rsid w:val="003B6471"/>
    <w:rsid w:val="003B71AA"/>
    <w:rsid w:val="003B7E10"/>
    <w:rsid w:val="003C0ED3"/>
    <w:rsid w:val="003C1A85"/>
    <w:rsid w:val="003C2015"/>
    <w:rsid w:val="003C3AB8"/>
    <w:rsid w:val="003C663A"/>
    <w:rsid w:val="003C67CA"/>
    <w:rsid w:val="003C6A11"/>
    <w:rsid w:val="003D05E5"/>
    <w:rsid w:val="003D0E50"/>
    <w:rsid w:val="003D3D8F"/>
    <w:rsid w:val="003D3F5C"/>
    <w:rsid w:val="003D6529"/>
    <w:rsid w:val="003E0156"/>
    <w:rsid w:val="003E1025"/>
    <w:rsid w:val="003E1A19"/>
    <w:rsid w:val="003E30E4"/>
    <w:rsid w:val="003E366D"/>
    <w:rsid w:val="003E40CB"/>
    <w:rsid w:val="003E45C8"/>
    <w:rsid w:val="003E6506"/>
    <w:rsid w:val="003E67A0"/>
    <w:rsid w:val="003F3008"/>
    <w:rsid w:val="003F3123"/>
    <w:rsid w:val="003F3330"/>
    <w:rsid w:val="003F336B"/>
    <w:rsid w:val="003F3A14"/>
    <w:rsid w:val="003F4CBD"/>
    <w:rsid w:val="003F5B0B"/>
    <w:rsid w:val="003F6AE2"/>
    <w:rsid w:val="00400876"/>
    <w:rsid w:val="00400974"/>
    <w:rsid w:val="00400B9E"/>
    <w:rsid w:val="0040336B"/>
    <w:rsid w:val="00406AF5"/>
    <w:rsid w:val="0040700A"/>
    <w:rsid w:val="004111C6"/>
    <w:rsid w:val="0041174C"/>
    <w:rsid w:val="004117CE"/>
    <w:rsid w:val="004117EB"/>
    <w:rsid w:val="00411F96"/>
    <w:rsid w:val="00413606"/>
    <w:rsid w:val="0041604F"/>
    <w:rsid w:val="00420AC9"/>
    <w:rsid w:val="00421F60"/>
    <w:rsid w:val="00423FB1"/>
    <w:rsid w:val="004272C8"/>
    <w:rsid w:val="004313B4"/>
    <w:rsid w:val="00431AFD"/>
    <w:rsid w:val="004325AF"/>
    <w:rsid w:val="00433205"/>
    <w:rsid w:val="0043435C"/>
    <w:rsid w:val="0043458B"/>
    <w:rsid w:val="00434F54"/>
    <w:rsid w:val="0043534B"/>
    <w:rsid w:val="00436096"/>
    <w:rsid w:val="004378DB"/>
    <w:rsid w:val="00437E66"/>
    <w:rsid w:val="00440140"/>
    <w:rsid w:val="00441F50"/>
    <w:rsid w:val="004422BE"/>
    <w:rsid w:val="00442A17"/>
    <w:rsid w:val="00442B69"/>
    <w:rsid w:val="0044548D"/>
    <w:rsid w:val="00445C4E"/>
    <w:rsid w:val="00446470"/>
    <w:rsid w:val="0044657C"/>
    <w:rsid w:val="00447142"/>
    <w:rsid w:val="00447960"/>
    <w:rsid w:val="00450AF2"/>
    <w:rsid w:val="00450D71"/>
    <w:rsid w:val="004512F3"/>
    <w:rsid w:val="00452542"/>
    <w:rsid w:val="00452F14"/>
    <w:rsid w:val="004531FA"/>
    <w:rsid w:val="00454389"/>
    <w:rsid w:val="00455FAA"/>
    <w:rsid w:val="0045602D"/>
    <w:rsid w:val="004601CA"/>
    <w:rsid w:val="00461DE7"/>
    <w:rsid w:val="00464E3A"/>
    <w:rsid w:val="004653FC"/>
    <w:rsid w:val="00466EF3"/>
    <w:rsid w:val="00467655"/>
    <w:rsid w:val="00467D12"/>
    <w:rsid w:val="0047008F"/>
    <w:rsid w:val="00470A5D"/>
    <w:rsid w:val="00471AC0"/>
    <w:rsid w:val="00474B4F"/>
    <w:rsid w:val="00476285"/>
    <w:rsid w:val="0047753F"/>
    <w:rsid w:val="00480793"/>
    <w:rsid w:val="0048172A"/>
    <w:rsid w:val="00481CAE"/>
    <w:rsid w:val="004825BE"/>
    <w:rsid w:val="00483793"/>
    <w:rsid w:val="00484A21"/>
    <w:rsid w:val="0048575D"/>
    <w:rsid w:val="0048589C"/>
    <w:rsid w:val="00486551"/>
    <w:rsid w:val="0048666B"/>
    <w:rsid w:val="00487B2D"/>
    <w:rsid w:val="00493049"/>
    <w:rsid w:val="00494B4D"/>
    <w:rsid w:val="00495BA2"/>
    <w:rsid w:val="00495F02"/>
    <w:rsid w:val="00496976"/>
    <w:rsid w:val="00497480"/>
    <w:rsid w:val="00497C2F"/>
    <w:rsid w:val="004A03A6"/>
    <w:rsid w:val="004A14DC"/>
    <w:rsid w:val="004A1E44"/>
    <w:rsid w:val="004A1FA2"/>
    <w:rsid w:val="004A2A0F"/>
    <w:rsid w:val="004A2F54"/>
    <w:rsid w:val="004A415C"/>
    <w:rsid w:val="004A424A"/>
    <w:rsid w:val="004A4C13"/>
    <w:rsid w:val="004B0250"/>
    <w:rsid w:val="004B0634"/>
    <w:rsid w:val="004B216C"/>
    <w:rsid w:val="004B3057"/>
    <w:rsid w:val="004B54DD"/>
    <w:rsid w:val="004B5ADE"/>
    <w:rsid w:val="004B5CF6"/>
    <w:rsid w:val="004B6396"/>
    <w:rsid w:val="004C04F7"/>
    <w:rsid w:val="004C1076"/>
    <w:rsid w:val="004C26D7"/>
    <w:rsid w:val="004C5BB8"/>
    <w:rsid w:val="004C61C4"/>
    <w:rsid w:val="004C6655"/>
    <w:rsid w:val="004C7AC9"/>
    <w:rsid w:val="004D299E"/>
    <w:rsid w:val="004D4BB0"/>
    <w:rsid w:val="004D4E27"/>
    <w:rsid w:val="004D5400"/>
    <w:rsid w:val="004E13B5"/>
    <w:rsid w:val="004E474A"/>
    <w:rsid w:val="004E6141"/>
    <w:rsid w:val="004E6672"/>
    <w:rsid w:val="004E6DAE"/>
    <w:rsid w:val="004E6FEA"/>
    <w:rsid w:val="004E78E8"/>
    <w:rsid w:val="004F0BE4"/>
    <w:rsid w:val="004F28BE"/>
    <w:rsid w:val="004F2F69"/>
    <w:rsid w:val="004F4F02"/>
    <w:rsid w:val="004F57E6"/>
    <w:rsid w:val="004F5C4F"/>
    <w:rsid w:val="004F6DBD"/>
    <w:rsid w:val="004F7AE9"/>
    <w:rsid w:val="00502532"/>
    <w:rsid w:val="00502533"/>
    <w:rsid w:val="00504131"/>
    <w:rsid w:val="0050486A"/>
    <w:rsid w:val="00504B32"/>
    <w:rsid w:val="00507205"/>
    <w:rsid w:val="005100B7"/>
    <w:rsid w:val="005100F0"/>
    <w:rsid w:val="00510790"/>
    <w:rsid w:val="00512906"/>
    <w:rsid w:val="00512F4B"/>
    <w:rsid w:val="00515A10"/>
    <w:rsid w:val="00516031"/>
    <w:rsid w:val="00516BA7"/>
    <w:rsid w:val="00520769"/>
    <w:rsid w:val="00521005"/>
    <w:rsid w:val="00522B3B"/>
    <w:rsid w:val="005236C5"/>
    <w:rsid w:val="005239CF"/>
    <w:rsid w:val="005242FB"/>
    <w:rsid w:val="00525875"/>
    <w:rsid w:val="005266DF"/>
    <w:rsid w:val="00531234"/>
    <w:rsid w:val="00531E99"/>
    <w:rsid w:val="0053214E"/>
    <w:rsid w:val="005351EC"/>
    <w:rsid w:val="00535A10"/>
    <w:rsid w:val="00535A8D"/>
    <w:rsid w:val="00535DD6"/>
    <w:rsid w:val="005360CE"/>
    <w:rsid w:val="005368DA"/>
    <w:rsid w:val="00540C1B"/>
    <w:rsid w:val="00541CEA"/>
    <w:rsid w:val="005437B7"/>
    <w:rsid w:val="00543AD2"/>
    <w:rsid w:val="00543DFD"/>
    <w:rsid w:val="00543FBD"/>
    <w:rsid w:val="00544F63"/>
    <w:rsid w:val="005455A1"/>
    <w:rsid w:val="00546F51"/>
    <w:rsid w:val="005470DC"/>
    <w:rsid w:val="00552943"/>
    <w:rsid w:val="005537FF"/>
    <w:rsid w:val="00553CDE"/>
    <w:rsid w:val="00555C24"/>
    <w:rsid w:val="00555C9E"/>
    <w:rsid w:val="00555E1E"/>
    <w:rsid w:val="0055647F"/>
    <w:rsid w:val="00560299"/>
    <w:rsid w:val="00560ADA"/>
    <w:rsid w:val="005615B2"/>
    <w:rsid w:val="00561D19"/>
    <w:rsid w:val="0056602C"/>
    <w:rsid w:val="00566C53"/>
    <w:rsid w:val="00567F9E"/>
    <w:rsid w:val="00571039"/>
    <w:rsid w:val="005720D8"/>
    <w:rsid w:val="00572E69"/>
    <w:rsid w:val="00573552"/>
    <w:rsid w:val="00574988"/>
    <w:rsid w:val="00574BD5"/>
    <w:rsid w:val="00575DC0"/>
    <w:rsid w:val="00576031"/>
    <w:rsid w:val="00576091"/>
    <w:rsid w:val="00577571"/>
    <w:rsid w:val="0058006C"/>
    <w:rsid w:val="00580EA2"/>
    <w:rsid w:val="00582473"/>
    <w:rsid w:val="005831B5"/>
    <w:rsid w:val="0058736B"/>
    <w:rsid w:val="00591382"/>
    <w:rsid w:val="005930D7"/>
    <w:rsid w:val="005934D9"/>
    <w:rsid w:val="00594453"/>
    <w:rsid w:val="00596D56"/>
    <w:rsid w:val="00596D99"/>
    <w:rsid w:val="00597DA5"/>
    <w:rsid w:val="005A185F"/>
    <w:rsid w:val="005A3022"/>
    <w:rsid w:val="005A4679"/>
    <w:rsid w:val="005A4D79"/>
    <w:rsid w:val="005A5833"/>
    <w:rsid w:val="005A5954"/>
    <w:rsid w:val="005A632D"/>
    <w:rsid w:val="005A711F"/>
    <w:rsid w:val="005A784B"/>
    <w:rsid w:val="005A7D88"/>
    <w:rsid w:val="005B1B2B"/>
    <w:rsid w:val="005B1BA9"/>
    <w:rsid w:val="005B2B4E"/>
    <w:rsid w:val="005B328A"/>
    <w:rsid w:val="005B3BE8"/>
    <w:rsid w:val="005B3CC4"/>
    <w:rsid w:val="005B5CE4"/>
    <w:rsid w:val="005B5EAF"/>
    <w:rsid w:val="005B6980"/>
    <w:rsid w:val="005B72D1"/>
    <w:rsid w:val="005B735D"/>
    <w:rsid w:val="005B7B99"/>
    <w:rsid w:val="005C1A4C"/>
    <w:rsid w:val="005C2C28"/>
    <w:rsid w:val="005C3B65"/>
    <w:rsid w:val="005C6A76"/>
    <w:rsid w:val="005D04C3"/>
    <w:rsid w:val="005D0F51"/>
    <w:rsid w:val="005D301D"/>
    <w:rsid w:val="005D37F5"/>
    <w:rsid w:val="005D3AFF"/>
    <w:rsid w:val="005D4722"/>
    <w:rsid w:val="005D5280"/>
    <w:rsid w:val="005D6C65"/>
    <w:rsid w:val="005D7A6B"/>
    <w:rsid w:val="005E01FB"/>
    <w:rsid w:val="005E2117"/>
    <w:rsid w:val="005E4093"/>
    <w:rsid w:val="005E4226"/>
    <w:rsid w:val="005E6A82"/>
    <w:rsid w:val="005E6AFE"/>
    <w:rsid w:val="005E6E46"/>
    <w:rsid w:val="005F09B5"/>
    <w:rsid w:val="005F2115"/>
    <w:rsid w:val="005F3304"/>
    <w:rsid w:val="005F3AD5"/>
    <w:rsid w:val="005F3E6A"/>
    <w:rsid w:val="005F4635"/>
    <w:rsid w:val="005F5235"/>
    <w:rsid w:val="005F7722"/>
    <w:rsid w:val="0060124F"/>
    <w:rsid w:val="00602060"/>
    <w:rsid w:val="00602D85"/>
    <w:rsid w:val="00602FCB"/>
    <w:rsid w:val="00604544"/>
    <w:rsid w:val="00604776"/>
    <w:rsid w:val="00605BCE"/>
    <w:rsid w:val="00606909"/>
    <w:rsid w:val="006109DA"/>
    <w:rsid w:val="00610BAE"/>
    <w:rsid w:val="006123AB"/>
    <w:rsid w:val="006135D4"/>
    <w:rsid w:val="00614240"/>
    <w:rsid w:val="00615717"/>
    <w:rsid w:val="0061626D"/>
    <w:rsid w:val="00617FA2"/>
    <w:rsid w:val="00620291"/>
    <w:rsid w:val="006224AD"/>
    <w:rsid w:val="00622636"/>
    <w:rsid w:val="0062269F"/>
    <w:rsid w:val="00623862"/>
    <w:rsid w:val="00623F7E"/>
    <w:rsid w:val="00624241"/>
    <w:rsid w:val="0063066D"/>
    <w:rsid w:val="00631BB6"/>
    <w:rsid w:val="00632101"/>
    <w:rsid w:val="0063269C"/>
    <w:rsid w:val="006341F6"/>
    <w:rsid w:val="00634A36"/>
    <w:rsid w:val="00636200"/>
    <w:rsid w:val="006411B1"/>
    <w:rsid w:val="006417CA"/>
    <w:rsid w:val="0064460D"/>
    <w:rsid w:val="00644E57"/>
    <w:rsid w:val="006451A5"/>
    <w:rsid w:val="0064548A"/>
    <w:rsid w:val="00645F6E"/>
    <w:rsid w:val="00646425"/>
    <w:rsid w:val="00646A3B"/>
    <w:rsid w:val="00646E1C"/>
    <w:rsid w:val="006502EC"/>
    <w:rsid w:val="00651F31"/>
    <w:rsid w:val="006526E3"/>
    <w:rsid w:val="00652D42"/>
    <w:rsid w:val="00652D60"/>
    <w:rsid w:val="00653A35"/>
    <w:rsid w:val="00654EF2"/>
    <w:rsid w:val="006550B2"/>
    <w:rsid w:val="0065585B"/>
    <w:rsid w:val="006605EA"/>
    <w:rsid w:val="00663F98"/>
    <w:rsid w:val="006640B4"/>
    <w:rsid w:val="006641F0"/>
    <w:rsid w:val="006643BA"/>
    <w:rsid w:val="00664B84"/>
    <w:rsid w:val="00665901"/>
    <w:rsid w:val="006666A2"/>
    <w:rsid w:val="00666BDB"/>
    <w:rsid w:val="00667A1E"/>
    <w:rsid w:val="00667AB4"/>
    <w:rsid w:val="00672174"/>
    <w:rsid w:val="006732E3"/>
    <w:rsid w:val="00674383"/>
    <w:rsid w:val="006748B6"/>
    <w:rsid w:val="00675F54"/>
    <w:rsid w:val="00677832"/>
    <w:rsid w:val="00677B10"/>
    <w:rsid w:val="0068013A"/>
    <w:rsid w:val="00680569"/>
    <w:rsid w:val="006808D0"/>
    <w:rsid w:val="00681D56"/>
    <w:rsid w:val="00682CF2"/>
    <w:rsid w:val="00682ED9"/>
    <w:rsid w:val="00684D7B"/>
    <w:rsid w:val="00685703"/>
    <w:rsid w:val="00685D58"/>
    <w:rsid w:val="00687BA6"/>
    <w:rsid w:val="0069078E"/>
    <w:rsid w:val="00691505"/>
    <w:rsid w:val="00693539"/>
    <w:rsid w:val="006936EF"/>
    <w:rsid w:val="006A0FC7"/>
    <w:rsid w:val="006A12EE"/>
    <w:rsid w:val="006A3A36"/>
    <w:rsid w:val="006A3AB5"/>
    <w:rsid w:val="006A3F30"/>
    <w:rsid w:val="006A401D"/>
    <w:rsid w:val="006A44BC"/>
    <w:rsid w:val="006A56EA"/>
    <w:rsid w:val="006A63BE"/>
    <w:rsid w:val="006A6BC4"/>
    <w:rsid w:val="006A6DD8"/>
    <w:rsid w:val="006A724D"/>
    <w:rsid w:val="006B037B"/>
    <w:rsid w:val="006B0597"/>
    <w:rsid w:val="006B0D07"/>
    <w:rsid w:val="006B1668"/>
    <w:rsid w:val="006B19E2"/>
    <w:rsid w:val="006B1CF6"/>
    <w:rsid w:val="006B5265"/>
    <w:rsid w:val="006C0684"/>
    <w:rsid w:val="006C07DA"/>
    <w:rsid w:val="006C13C4"/>
    <w:rsid w:val="006C1624"/>
    <w:rsid w:val="006C3024"/>
    <w:rsid w:val="006C4FF5"/>
    <w:rsid w:val="006C58E9"/>
    <w:rsid w:val="006C6364"/>
    <w:rsid w:val="006C6839"/>
    <w:rsid w:val="006C7786"/>
    <w:rsid w:val="006D1448"/>
    <w:rsid w:val="006D14CD"/>
    <w:rsid w:val="006D14F1"/>
    <w:rsid w:val="006D2479"/>
    <w:rsid w:val="006D3FB5"/>
    <w:rsid w:val="006D4F52"/>
    <w:rsid w:val="006D5373"/>
    <w:rsid w:val="006D53DC"/>
    <w:rsid w:val="006D5637"/>
    <w:rsid w:val="006D6CC1"/>
    <w:rsid w:val="006D75D0"/>
    <w:rsid w:val="006D79D0"/>
    <w:rsid w:val="006D7C45"/>
    <w:rsid w:val="006E1287"/>
    <w:rsid w:val="006E1AF6"/>
    <w:rsid w:val="006E25F1"/>
    <w:rsid w:val="006E2E65"/>
    <w:rsid w:val="006E3B83"/>
    <w:rsid w:val="006E40B4"/>
    <w:rsid w:val="006E53DB"/>
    <w:rsid w:val="006E55ED"/>
    <w:rsid w:val="006E5999"/>
    <w:rsid w:val="006E5C21"/>
    <w:rsid w:val="006E7ADA"/>
    <w:rsid w:val="006E7C67"/>
    <w:rsid w:val="006F0283"/>
    <w:rsid w:val="006F0DF3"/>
    <w:rsid w:val="006F2653"/>
    <w:rsid w:val="006F2A54"/>
    <w:rsid w:val="006F358F"/>
    <w:rsid w:val="006F4CAC"/>
    <w:rsid w:val="006F5CC0"/>
    <w:rsid w:val="0070180C"/>
    <w:rsid w:val="00701B4A"/>
    <w:rsid w:val="00701CC4"/>
    <w:rsid w:val="0070224C"/>
    <w:rsid w:val="00703E60"/>
    <w:rsid w:val="00703EEA"/>
    <w:rsid w:val="007046AA"/>
    <w:rsid w:val="007050C0"/>
    <w:rsid w:val="007058DE"/>
    <w:rsid w:val="00707580"/>
    <w:rsid w:val="00707BF6"/>
    <w:rsid w:val="0071067C"/>
    <w:rsid w:val="00710A3B"/>
    <w:rsid w:val="007123C0"/>
    <w:rsid w:val="00712E75"/>
    <w:rsid w:val="0071307D"/>
    <w:rsid w:val="00713717"/>
    <w:rsid w:val="007165B7"/>
    <w:rsid w:val="00716B3A"/>
    <w:rsid w:val="00716F86"/>
    <w:rsid w:val="0071705D"/>
    <w:rsid w:val="0071761D"/>
    <w:rsid w:val="00717A5B"/>
    <w:rsid w:val="007229DC"/>
    <w:rsid w:val="0072331E"/>
    <w:rsid w:val="00724CAF"/>
    <w:rsid w:val="007255D3"/>
    <w:rsid w:val="00725AA8"/>
    <w:rsid w:val="00726428"/>
    <w:rsid w:val="00727CF3"/>
    <w:rsid w:val="0073137A"/>
    <w:rsid w:val="00731BE4"/>
    <w:rsid w:val="0073553B"/>
    <w:rsid w:val="0073602A"/>
    <w:rsid w:val="00736806"/>
    <w:rsid w:val="00736FE0"/>
    <w:rsid w:val="00737BE8"/>
    <w:rsid w:val="00740037"/>
    <w:rsid w:val="007417B1"/>
    <w:rsid w:val="0074212F"/>
    <w:rsid w:val="00743CFF"/>
    <w:rsid w:val="00744DFA"/>
    <w:rsid w:val="00747899"/>
    <w:rsid w:val="00747ECE"/>
    <w:rsid w:val="00750910"/>
    <w:rsid w:val="007509FC"/>
    <w:rsid w:val="00750DDF"/>
    <w:rsid w:val="007516E0"/>
    <w:rsid w:val="007522C3"/>
    <w:rsid w:val="007522CE"/>
    <w:rsid w:val="007527EA"/>
    <w:rsid w:val="00753F62"/>
    <w:rsid w:val="00754809"/>
    <w:rsid w:val="007574DE"/>
    <w:rsid w:val="00757898"/>
    <w:rsid w:val="007578F0"/>
    <w:rsid w:val="0076114C"/>
    <w:rsid w:val="0076319B"/>
    <w:rsid w:val="007637F3"/>
    <w:rsid w:val="007654FA"/>
    <w:rsid w:val="0076597A"/>
    <w:rsid w:val="00766D66"/>
    <w:rsid w:val="00770C7F"/>
    <w:rsid w:val="007712FE"/>
    <w:rsid w:val="00771A30"/>
    <w:rsid w:val="00772204"/>
    <w:rsid w:val="00772D9F"/>
    <w:rsid w:val="00773135"/>
    <w:rsid w:val="007761B5"/>
    <w:rsid w:val="0077768A"/>
    <w:rsid w:val="0078024B"/>
    <w:rsid w:val="007806F1"/>
    <w:rsid w:val="00781256"/>
    <w:rsid w:val="00781DF8"/>
    <w:rsid w:val="00782960"/>
    <w:rsid w:val="00783EDC"/>
    <w:rsid w:val="00784659"/>
    <w:rsid w:val="00784B22"/>
    <w:rsid w:val="00787337"/>
    <w:rsid w:val="0079130C"/>
    <w:rsid w:val="00792D63"/>
    <w:rsid w:val="00794B56"/>
    <w:rsid w:val="00794D6C"/>
    <w:rsid w:val="00794DFC"/>
    <w:rsid w:val="00796699"/>
    <w:rsid w:val="00797607"/>
    <w:rsid w:val="00797644"/>
    <w:rsid w:val="007A1C45"/>
    <w:rsid w:val="007A2C3E"/>
    <w:rsid w:val="007A2CC3"/>
    <w:rsid w:val="007A460F"/>
    <w:rsid w:val="007A4CC5"/>
    <w:rsid w:val="007A4DD8"/>
    <w:rsid w:val="007A4E10"/>
    <w:rsid w:val="007A652B"/>
    <w:rsid w:val="007A6951"/>
    <w:rsid w:val="007B0E0F"/>
    <w:rsid w:val="007B15AD"/>
    <w:rsid w:val="007B26ED"/>
    <w:rsid w:val="007B3B0D"/>
    <w:rsid w:val="007B4BD6"/>
    <w:rsid w:val="007B58E0"/>
    <w:rsid w:val="007B5F21"/>
    <w:rsid w:val="007B6DF5"/>
    <w:rsid w:val="007C1E13"/>
    <w:rsid w:val="007C47B6"/>
    <w:rsid w:val="007C532A"/>
    <w:rsid w:val="007C6248"/>
    <w:rsid w:val="007C68E8"/>
    <w:rsid w:val="007C6CEA"/>
    <w:rsid w:val="007D0496"/>
    <w:rsid w:val="007D3EF2"/>
    <w:rsid w:val="007D4F84"/>
    <w:rsid w:val="007D559A"/>
    <w:rsid w:val="007D59F0"/>
    <w:rsid w:val="007D6972"/>
    <w:rsid w:val="007D6B5A"/>
    <w:rsid w:val="007E09AF"/>
    <w:rsid w:val="007E0F57"/>
    <w:rsid w:val="007E1311"/>
    <w:rsid w:val="007E26F0"/>
    <w:rsid w:val="007E31F3"/>
    <w:rsid w:val="007E3875"/>
    <w:rsid w:val="007E5032"/>
    <w:rsid w:val="007E5430"/>
    <w:rsid w:val="007E65B9"/>
    <w:rsid w:val="007E6A57"/>
    <w:rsid w:val="007F0129"/>
    <w:rsid w:val="007F264E"/>
    <w:rsid w:val="007F267A"/>
    <w:rsid w:val="007F2BC0"/>
    <w:rsid w:val="007F330B"/>
    <w:rsid w:val="007F597C"/>
    <w:rsid w:val="008000F4"/>
    <w:rsid w:val="008003A4"/>
    <w:rsid w:val="00800DBD"/>
    <w:rsid w:val="00802BC5"/>
    <w:rsid w:val="00803DD7"/>
    <w:rsid w:val="008040AA"/>
    <w:rsid w:val="00807425"/>
    <w:rsid w:val="00810B20"/>
    <w:rsid w:val="00811C96"/>
    <w:rsid w:val="0081232C"/>
    <w:rsid w:val="00812C3A"/>
    <w:rsid w:val="00813691"/>
    <w:rsid w:val="00815D2D"/>
    <w:rsid w:val="00816BE9"/>
    <w:rsid w:val="00816FD0"/>
    <w:rsid w:val="00817A15"/>
    <w:rsid w:val="008200F6"/>
    <w:rsid w:val="00820B3A"/>
    <w:rsid w:val="00820DA4"/>
    <w:rsid w:val="00821710"/>
    <w:rsid w:val="00822EA6"/>
    <w:rsid w:val="00823BE9"/>
    <w:rsid w:val="00824497"/>
    <w:rsid w:val="008275D8"/>
    <w:rsid w:val="00827A2E"/>
    <w:rsid w:val="00827F55"/>
    <w:rsid w:val="008324A4"/>
    <w:rsid w:val="00836994"/>
    <w:rsid w:val="008405D4"/>
    <w:rsid w:val="0084061A"/>
    <w:rsid w:val="00840D54"/>
    <w:rsid w:val="00841F6B"/>
    <w:rsid w:val="00845101"/>
    <w:rsid w:val="00845657"/>
    <w:rsid w:val="00846450"/>
    <w:rsid w:val="00847F5B"/>
    <w:rsid w:val="00850588"/>
    <w:rsid w:val="00851CFB"/>
    <w:rsid w:val="00852A43"/>
    <w:rsid w:val="008534F8"/>
    <w:rsid w:val="00854FD9"/>
    <w:rsid w:val="00856FEB"/>
    <w:rsid w:val="008674F7"/>
    <w:rsid w:val="00872814"/>
    <w:rsid w:val="00872991"/>
    <w:rsid w:val="00875890"/>
    <w:rsid w:val="00875DE3"/>
    <w:rsid w:val="00881E46"/>
    <w:rsid w:val="008823D8"/>
    <w:rsid w:val="008838CB"/>
    <w:rsid w:val="0088451A"/>
    <w:rsid w:val="0088459F"/>
    <w:rsid w:val="0088546B"/>
    <w:rsid w:val="0088650C"/>
    <w:rsid w:val="00887BAF"/>
    <w:rsid w:val="008924AA"/>
    <w:rsid w:val="008924D9"/>
    <w:rsid w:val="00893EC6"/>
    <w:rsid w:val="008946DF"/>
    <w:rsid w:val="0089508B"/>
    <w:rsid w:val="00895B05"/>
    <w:rsid w:val="008A0BA0"/>
    <w:rsid w:val="008A112B"/>
    <w:rsid w:val="008A1735"/>
    <w:rsid w:val="008A2F07"/>
    <w:rsid w:val="008A3182"/>
    <w:rsid w:val="008A612C"/>
    <w:rsid w:val="008A6378"/>
    <w:rsid w:val="008A6CCB"/>
    <w:rsid w:val="008A74AF"/>
    <w:rsid w:val="008B0354"/>
    <w:rsid w:val="008B0DB8"/>
    <w:rsid w:val="008B149E"/>
    <w:rsid w:val="008B209D"/>
    <w:rsid w:val="008B3393"/>
    <w:rsid w:val="008B38A1"/>
    <w:rsid w:val="008B3C61"/>
    <w:rsid w:val="008B4351"/>
    <w:rsid w:val="008B55C7"/>
    <w:rsid w:val="008C05C5"/>
    <w:rsid w:val="008C0DF6"/>
    <w:rsid w:val="008C14F3"/>
    <w:rsid w:val="008C2A52"/>
    <w:rsid w:val="008C2DBD"/>
    <w:rsid w:val="008C7A10"/>
    <w:rsid w:val="008C7B0F"/>
    <w:rsid w:val="008D0184"/>
    <w:rsid w:val="008D1176"/>
    <w:rsid w:val="008D1BEB"/>
    <w:rsid w:val="008D256B"/>
    <w:rsid w:val="008D3E1A"/>
    <w:rsid w:val="008D4295"/>
    <w:rsid w:val="008D4AA9"/>
    <w:rsid w:val="008D6B7C"/>
    <w:rsid w:val="008E0355"/>
    <w:rsid w:val="008E1F66"/>
    <w:rsid w:val="008E2C2B"/>
    <w:rsid w:val="008E32C9"/>
    <w:rsid w:val="008E32E5"/>
    <w:rsid w:val="008E4631"/>
    <w:rsid w:val="008E463C"/>
    <w:rsid w:val="008E4AEB"/>
    <w:rsid w:val="008E6D9E"/>
    <w:rsid w:val="008E7A28"/>
    <w:rsid w:val="008F21B4"/>
    <w:rsid w:val="008F3022"/>
    <w:rsid w:val="008F3FAF"/>
    <w:rsid w:val="008F5110"/>
    <w:rsid w:val="008F7556"/>
    <w:rsid w:val="0090144F"/>
    <w:rsid w:val="00902DA5"/>
    <w:rsid w:val="00903EFA"/>
    <w:rsid w:val="0090441C"/>
    <w:rsid w:val="00905016"/>
    <w:rsid w:val="009055D0"/>
    <w:rsid w:val="009110EA"/>
    <w:rsid w:val="00913E49"/>
    <w:rsid w:val="00914C0F"/>
    <w:rsid w:val="009167CE"/>
    <w:rsid w:val="00916810"/>
    <w:rsid w:val="00916D07"/>
    <w:rsid w:val="00920710"/>
    <w:rsid w:val="0092132C"/>
    <w:rsid w:val="00921BEC"/>
    <w:rsid w:val="00922136"/>
    <w:rsid w:val="00923159"/>
    <w:rsid w:val="00923AE1"/>
    <w:rsid w:val="00923B79"/>
    <w:rsid w:val="00924253"/>
    <w:rsid w:val="00927275"/>
    <w:rsid w:val="00931197"/>
    <w:rsid w:val="0093244A"/>
    <w:rsid w:val="00932D46"/>
    <w:rsid w:val="00933458"/>
    <w:rsid w:val="00933491"/>
    <w:rsid w:val="0093505C"/>
    <w:rsid w:val="00935545"/>
    <w:rsid w:val="00935D9B"/>
    <w:rsid w:val="00936D63"/>
    <w:rsid w:val="00937E9E"/>
    <w:rsid w:val="00940E22"/>
    <w:rsid w:val="00940E7B"/>
    <w:rsid w:val="0094241E"/>
    <w:rsid w:val="00942A50"/>
    <w:rsid w:val="00942BA2"/>
    <w:rsid w:val="00944225"/>
    <w:rsid w:val="00944457"/>
    <w:rsid w:val="0094573D"/>
    <w:rsid w:val="00945920"/>
    <w:rsid w:val="009462E4"/>
    <w:rsid w:val="00946618"/>
    <w:rsid w:val="0095363B"/>
    <w:rsid w:val="00954817"/>
    <w:rsid w:val="009549F4"/>
    <w:rsid w:val="00954A94"/>
    <w:rsid w:val="00957071"/>
    <w:rsid w:val="009570C2"/>
    <w:rsid w:val="0096068B"/>
    <w:rsid w:val="00961E9E"/>
    <w:rsid w:val="009628F6"/>
    <w:rsid w:val="00962F1F"/>
    <w:rsid w:val="00965129"/>
    <w:rsid w:val="00965843"/>
    <w:rsid w:val="00965987"/>
    <w:rsid w:val="0096619C"/>
    <w:rsid w:val="009664EB"/>
    <w:rsid w:val="0096783F"/>
    <w:rsid w:val="00970B88"/>
    <w:rsid w:val="00971115"/>
    <w:rsid w:val="00972735"/>
    <w:rsid w:val="009755A3"/>
    <w:rsid w:val="00976677"/>
    <w:rsid w:val="00976AA6"/>
    <w:rsid w:val="009776FF"/>
    <w:rsid w:val="009777EB"/>
    <w:rsid w:val="00977E17"/>
    <w:rsid w:val="00980B6C"/>
    <w:rsid w:val="00980E9C"/>
    <w:rsid w:val="009811F6"/>
    <w:rsid w:val="00981E3D"/>
    <w:rsid w:val="00984810"/>
    <w:rsid w:val="00986730"/>
    <w:rsid w:val="009873FE"/>
    <w:rsid w:val="00990267"/>
    <w:rsid w:val="00990D32"/>
    <w:rsid w:val="00990DFB"/>
    <w:rsid w:val="0099102F"/>
    <w:rsid w:val="0099152A"/>
    <w:rsid w:val="009928DD"/>
    <w:rsid w:val="00992FFB"/>
    <w:rsid w:val="00993ECC"/>
    <w:rsid w:val="009944FB"/>
    <w:rsid w:val="009A0D58"/>
    <w:rsid w:val="009A0F2E"/>
    <w:rsid w:val="009A1BAE"/>
    <w:rsid w:val="009A2A6D"/>
    <w:rsid w:val="009A2E59"/>
    <w:rsid w:val="009A306F"/>
    <w:rsid w:val="009A43ED"/>
    <w:rsid w:val="009A462D"/>
    <w:rsid w:val="009A553A"/>
    <w:rsid w:val="009A72FF"/>
    <w:rsid w:val="009A7321"/>
    <w:rsid w:val="009B0246"/>
    <w:rsid w:val="009B0D5A"/>
    <w:rsid w:val="009B14D2"/>
    <w:rsid w:val="009B1701"/>
    <w:rsid w:val="009B24D1"/>
    <w:rsid w:val="009B28C4"/>
    <w:rsid w:val="009B2BA6"/>
    <w:rsid w:val="009B4535"/>
    <w:rsid w:val="009B4D78"/>
    <w:rsid w:val="009B5609"/>
    <w:rsid w:val="009B5624"/>
    <w:rsid w:val="009B6183"/>
    <w:rsid w:val="009B746E"/>
    <w:rsid w:val="009B778E"/>
    <w:rsid w:val="009C1024"/>
    <w:rsid w:val="009C1637"/>
    <w:rsid w:val="009C1AAB"/>
    <w:rsid w:val="009C1FB6"/>
    <w:rsid w:val="009C2E7C"/>
    <w:rsid w:val="009C3861"/>
    <w:rsid w:val="009C4C3D"/>
    <w:rsid w:val="009C5AFC"/>
    <w:rsid w:val="009C6791"/>
    <w:rsid w:val="009D0A12"/>
    <w:rsid w:val="009D1AC1"/>
    <w:rsid w:val="009D1B79"/>
    <w:rsid w:val="009D33FA"/>
    <w:rsid w:val="009D3C86"/>
    <w:rsid w:val="009D4176"/>
    <w:rsid w:val="009D54E0"/>
    <w:rsid w:val="009D5D2C"/>
    <w:rsid w:val="009D6118"/>
    <w:rsid w:val="009D72BD"/>
    <w:rsid w:val="009E18B1"/>
    <w:rsid w:val="009E18C1"/>
    <w:rsid w:val="009E229C"/>
    <w:rsid w:val="009E2D26"/>
    <w:rsid w:val="009E353D"/>
    <w:rsid w:val="009E3CB5"/>
    <w:rsid w:val="009E4101"/>
    <w:rsid w:val="009E43C5"/>
    <w:rsid w:val="009E5058"/>
    <w:rsid w:val="009E679C"/>
    <w:rsid w:val="009F10D3"/>
    <w:rsid w:val="009F12C2"/>
    <w:rsid w:val="009F1B49"/>
    <w:rsid w:val="009F1C48"/>
    <w:rsid w:val="009F26F1"/>
    <w:rsid w:val="009F481F"/>
    <w:rsid w:val="009F6497"/>
    <w:rsid w:val="009F6761"/>
    <w:rsid w:val="009F71CF"/>
    <w:rsid w:val="009F730C"/>
    <w:rsid w:val="009F7EF8"/>
    <w:rsid w:val="009F7EFB"/>
    <w:rsid w:val="00A012BE"/>
    <w:rsid w:val="00A01F15"/>
    <w:rsid w:val="00A02551"/>
    <w:rsid w:val="00A03901"/>
    <w:rsid w:val="00A04BE4"/>
    <w:rsid w:val="00A04F15"/>
    <w:rsid w:val="00A05EA0"/>
    <w:rsid w:val="00A07400"/>
    <w:rsid w:val="00A10092"/>
    <w:rsid w:val="00A10A06"/>
    <w:rsid w:val="00A14302"/>
    <w:rsid w:val="00A149A5"/>
    <w:rsid w:val="00A14ED3"/>
    <w:rsid w:val="00A15856"/>
    <w:rsid w:val="00A16F0C"/>
    <w:rsid w:val="00A20310"/>
    <w:rsid w:val="00A203C6"/>
    <w:rsid w:val="00A20E7C"/>
    <w:rsid w:val="00A21EE2"/>
    <w:rsid w:val="00A23AFD"/>
    <w:rsid w:val="00A2403C"/>
    <w:rsid w:val="00A2558E"/>
    <w:rsid w:val="00A25F1D"/>
    <w:rsid w:val="00A26677"/>
    <w:rsid w:val="00A26F1D"/>
    <w:rsid w:val="00A27CA4"/>
    <w:rsid w:val="00A30022"/>
    <w:rsid w:val="00A300B3"/>
    <w:rsid w:val="00A30496"/>
    <w:rsid w:val="00A315E5"/>
    <w:rsid w:val="00A32D92"/>
    <w:rsid w:val="00A34DE0"/>
    <w:rsid w:val="00A3543B"/>
    <w:rsid w:val="00A35990"/>
    <w:rsid w:val="00A35E18"/>
    <w:rsid w:val="00A4259E"/>
    <w:rsid w:val="00A42BE8"/>
    <w:rsid w:val="00A4397C"/>
    <w:rsid w:val="00A43B19"/>
    <w:rsid w:val="00A448B9"/>
    <w:rsid w:val="00A46095"/>
    <w:rsid w:val="00A46399"/>
    <w:rsid w:val="00A46E7D"/>
    <w:rsid w:val="00A47635"/>
    <w:rsid w:val="00A47683"/>
    <w:rsid w:val="00A51084"/>
    <w:rsid w:val="00A51D0A"/>
    <w:rsid w:val="00A51F34"/>
    <w:rsid w:val="00A52C69"/>
    <w:rsid w:val="00A53DDA"/>
    <w:rsid w:val="00A54A72"/>
    <w:rsid w:val="00A56A83"/>
    <w:rsid w:val="00A57596"/>
    <w:rsid w:val="00A57AE9"/>
    <w:rsid w:val="00A6025D"/>
    <w:rsid w:val="00A6103E"/>
    <w:rsid w:val="00A611C2"/>
    <w:rsid w:val="00A614F5"/>
    <w:rsid w:val="00A61EF2"/>
    <w:rsid w:val="00A62E08"/>
    <w:rsid w:val="00A63284"/>
    <w:rsid w:val="00A67CF7"/>
    <w:rsid w:val="00A71B20"/>
    <w:rsid w:val="00A722B3"/>
    <w:rsid w:val="00A724A2"/>
    <w:rsid w:val="00A724CB"/>
    <w:rsid w:val="00A726DF"/>
    <w:rsid w:val="00A73123"/>
    <w:rsid w:val="00A73252"/>
    <w:rsid w:val="00A755A8"/>
    <w:rsid w:val="00A77AB3"/>
    <w:rsid w:val="00A80088"/>
    <w:rsid w:val="00A81768"/>
    <w:rsid w:val="00A81B48"/>
    <w:rsid w:val="00A81EDF"/>
    <w:rsid w:val="00A834D9"/>
    <w:rsid w:val="00A8358C"/>
    <w:rsid w:val="00A916AB"/>
    <w:rsid w:val="00A9209C"/>
    <w:rsid w:val="00A935D8"/>
    <w:rsid w:val="00A93DD1"/>
    <w:rsid w:val="00A9511C"/>
    <w:rsid w:val="00A95D9F"/>
    <w:rsid w:val="00A95DD2"/>
    <w:rsid w:val="00A97C09"/>
    <w:rsid w:val="00AA089D"/>
    <w:rsid w:val="00AA104F"/>
    <w:rsid w:val="00AA1200"/>
    <w:rsid w:val="00AA1AF6"/>
    <w:rsid w:val="00AA1C33"/>
    <w:rsid w:val="00AA22C7"/>
    <w:rsid w:val="00AA36BB"/>
    <w:rsid w:val="00AA402E"/>
    <w:rsid w:val="00AA45FB"/>
    <w:rsid w:val="00AA5A9C"/>
    <w:rsid w:val="00AA6B88"/>
    <w:rsid w:val="00AA6D6F"/>
    <w:rsid w:val="00AB0234"/>
    <w:rsid w:val="00AB20F9"/>
    <w:rsid w:val="00AB4DB1"/>
    <w:rsid w:val="00AB7F0B"/>
    <w:rsid w:val="00AC2DD3"/>
    <w:rsid w:val="00AC3621"/>
    <w:rsid w:val="00AC3E03"/>
    <w:rsid w:val="00AC45D7"/>
    <w:rsid w:val="00AC53E1"/>
    <w:rsid w:val="00AC5C8E"/>
    <w:rsid w:val="00AD0A5E"/>
    <w:rsid w:val="00AD2244"/>
    <w:rsid w:val="00AD349F"/>
    <w:rsid w:val="00AD477E"/>
    <w:rsid w:val="00AD57EB"/>
    <w:rsid w:val="00AD5AE0"/>
    <w:rsid w:val="00AD5D21"/>
    <w:rsid w:val="00AD7B44"/>
    <w:rsid w:val="00AE1955"/>
    <w:rsid w:val="00AE274A"/>
    <w:rsid w:val="00AE2ADF"/>
    <w:rsid w:val="00AE3B7B"/>
    <w:rsid w:val="00AE4B22"/>
    <w:rsid w:val="00AE5CA0"/>
    <w:rsid w:val="00AE5D3B"/>
    <w:rsid w:val="00AE71C2"/>
    <w:rsid w:val="00AE76FA"/>
    <w:rsid w:val="00AF03BC"/>
    <w:rsid w:val="00AF1175"/>
    <w:rsid w:val="00AF279C"/>
    <w:rsid w:val="00AF315A"/>
    <w:rsid w:val="00AF3B3E"/>
    <w:rsid w:val="00AF4C1D"/>
    <w:rsid w:val="00AF5649"/>
    <w:rsid w:val="00AF6522"/>
    <w:rsid w:val="00B01708"/>
    <w:rsid w:val="00B01CDB"/>
    <w:rsid w:val="00B023BB"/>
    <w:rsid w:val="00B02572"/>
    <w:rsid w:val="00B03893"/>
    <w:rsid w:val="00B068D1"/>
    <w:rsid w:val="00B06B56"/>
    <w:rsid w:val="00B146CD"/>
    <w:rsid w:val="00B15917"/>
    <w:rsid w:val="00B17132"/>
    <w:rsid w:val="00B17600"/>
    <w:rsid w:val="00B17943"/>
    <w:rsid w:val="00B17FDB"/>
    <w:rsid w:val="00B20D28"/>
    <w:rsid w:val="00B21E58"/>
    <w:rsid w:val="00B221B2"/>
    <w:rsid w:val="00B246DA"/>
    <w:rsid w:val="00B24ED0"/>
    <w:rsid w:val="00B254CF"/>
    <w:rsid w:val="00B255F3"/>
    <w:rsid w:val="00B25F55"/>
    <w:rsid w:val="00B26448"/>
    <w:rsid w:val="00B273B9"/>
    <w:rsid w:val="00B27ED3"/>
    <w:rsid w:val="00B27F03"/>
    <w:rsid w:val="00B3080C"/>
    <w:rsid w:val="00B35103"/>
    <w:rsid w:val="00B35FEE"/>
    <w:rsid w:val="00B36CE1"/>
    <w:rsid w:val="00B370AA"/>
    <w:rsid w:val="00B372CC"/>
    <w:rsid w:val="00B40F0B"/>
    <w:rsid w:val="00B41269"/>
    <w:rsid w:val="00B433EE"/>
    <w:rsid w:val="00B43795"/>
    <w:rsid w:val="00B43AF3"/>
    <w:rsid w:val="00B464CB"/>
    <w:rsid w:val="00B4797E"/>
    <w:rsid w:val="00B5029C"/>
    <w:rsid w:val="00B50B8A"/>
    <w:rsid w:val="00B50DBD"/>
    <w:rsid w:val="00B534EF"/>
    <w:rsid w:val="00B5583E"/>
    <w:rsid w:val="00B573C7"/>
    <w:rsid w:val="00B618AB"/>
    <w:rsid w:val="00B648B9"/>
    <w:rsid w:val="00B66042"/>
    <w:rsid w:val="00B66FB7"/>
    <w:rsid w:val="00B7416C"/>
    <w:rsid w:val="00B74CCD"/>
    <w:rsid w:val="00B75FFB"/>
    <w:rsid w:val="00B766BF"/>
    <w:rsid w:val="00B771DD"/>
    <w:rsid w:val="00B773AA"/>
    <w:rsid w:val="00B81B1C"/>
    <w:rsid w:val="00B82943"/>
    <w:rsid w:val="00B8326A"/>
    <w:rsid w:val="00B841B9"/>
    <w:rsid w:val="00B8601D"/>
    <w:rsid w:val="00B8663A"/>
    <w:rsid w:val="00B8731A"/>
    <w:rsid w:val="00B87511"/>
    <w:rsid w:val="00B928CD"/>
    <w:rsid w:val="00B93004"/>
    <w:rsid w:val="00B93937"/>
    <w:rsid w:val="00B94A28"/>
    <w:rsid w:val="00B953D5"/>
    <w:rsid w:val="00B95CB7"/>
    <w:rsid w:val="00B96455"/>
    <w:rsid w:val="00B9750F"/>
    <w:rsid w:val="00B97C23"/>
    <w:rsid w:val="00BA0D50"/>
    <w:rsid w:val="00BA2633"/>
    <w:rsid w:val="00BA346A"/>
    <w:rsid w:val="00BA3B94"/>
    <w:rsid w:val="00BA5C18"/>
    <w:rsid w:val="00BA618C"/>
    <w:rsid w:val="00BA6591"/>
    <w:rsid w:val="00BA66A1"/>
    <w:rsid w:val="00BA6B72"/>
    <w:rsid w:val="00BA736F"/>
    <w:rsid w:val="00BB11F8"/>
    <w:rsid w:val="00BB1616"/>
    <w:rsid w:val="00BB1A01"/>
    <w:rsid w:val="00BB3271"/>
    <w:rsid w:val="00BB32E9"/>
    <w:rsid w:val="00BB479E"/>
    <w:rsid w:val="00BB499B"/>
    <w:rsid w:val="00BB4F84"/>
    <w:rsid w:val="00BB555C"/>
    <w:rsid w:val="00BB683C"/>
    <w:rsid w:val="00BC0B38"/>
    <w:rsid w:val="00BC1134"/>
    <w:rsid w:val="00BC1A72"/>
    <w:rsid w:val="00BC1AEC"/>
    <w:rsid w:val="00BC2882"/>
    <w:rsid w:val="00BC4469"/>
    <w:rsid w:val="00BD04AB"/>
    <w:rsid w:val="00BD07DE"/>
    <w:rsid w:val="00BD3894"/>
    <w:rsid w:val="00BD429F"/>
    <w:rsid w:val="00BD5912"/>
    <w:rsid w:val="00BE0F29"/>
    <w:rsid w:val="00BE141B"/>
    <w:rsid w:val="00BE16D8"/>
    <w:rsid w:val="00BE20CB"/>
    <w:rsid w:val="00BE3ACB"/>
    <w:rsid w:val="00BE3F93"/>
    <w:rsid w:val="00BE5F8B"/>
    <w:rsid w:val="00BE6303"/>
    <w:rsid w:val="00BE6E0C"/>
    <w:rsid w:val="00BF14A4"/>
    <w:rsid w:val="00BF208F"/>
    <w:rsid w:val="00BF2456"/>
    <w:rsid w:val="00BF31AE"/>
    <w:rsid w:val="00BF41B4"/>
    <w:rsid w:val="00BF4317"/>
    <w:rsid w:val="00BF4B54"/>
    <w:rsid w:val="00BF50E2"/>
    <w:rsid w:val="00BF5A44"/>
    <w:rsid w:val="00BF6739"/>
    <w:rsid w:val="00C00741"/>
    <w:rsid w:val="00C00C33"/>
    <w:rsid w:val="00C021FC"/>
    <w:rsid w:val="00C02FB4"/>
    <w:rsid w:val="00C04532"/>
    <w:rsid w:val="00C06436"/>
    <w:rsid w:val="00C06A3B"/>
    <w:rsid w:val="00C13EDA"/>
    <w:rsid w:val="00C14EEB"/>
    <w:rsid w:val="00C162DF"/>
    <w:rsid w:val="00C16AB1"/>
    <w:rsid w:val="00C17359"/>
    <w:rsid w:val="00C2061F"/>
    <w:rsid w:val="00C2364E"/>
    <w:rsid w:val="00C24151"/>
    <w:rsid w:val="00C3007A"/>
    <w:rsid w:val="00C31024"/>
    <w:rsid w:val="00C32120"/>
    <w:rsid w:val="00C32C75"/>
    <w:rsid w:val="00C33D82"/>
    <w:rsid w:val="00C33D8C"/>
    <w:rsid w:val="00C34655"/>
    <w:rsid w:val="00C35616"/>
    <w:rsid w:val="00C36573"/>
    <w:rsid w:val="00C36662"/>
    <w:rsid w:val="00C37050"/>
    <w:rsid w:val="00C378ED"/>
    <w:rsid w:val="00C41FAF"/>
    <w:rsid w:val="00C42DD0"/>
    <w:rsid w:val="00C43AE1"/>
    <w:rsid w:val="00C43CD2"/>
    <w:rsid w:val="00C44E42"/>
    <w:rsid w:val="00C450C0"/>
    <w:rsid w:val="00C45397"/>
    <w:rsid w:val="00C47E7C"/>
    <w:rsid w:val="00C50364"/>
    <w:rsid w:val="00C51A75"/>
    <w:rsid w:val="00C51D51"/>
    <w:rsid w:val="00C51F5D"/>
    <w:rsid w:val="00C523EF"/>
    <w:rsid w:val="00C52C07"/>
    <w:rsid w:val="00C52F64"/>
    <w:rsid w:val="00C54536"/>
    <w:rsid w:val="00C547D3"/>
    <w:rsid w:val="00C548E1"/>
    <w:rsid w:val="00C55509"/>
    <w:rsid w:val="00C5700E"/>
    <w:rsid w:val="00C61067"/>
    <w:rsid w:val="00C61841"/>
    <w:rsid w:val="00C623CF"/>
    <w:rsid w:val="00C62706"/>
    <w:rsid w:val="00C629A4"/>
    <w:rsid w:val="00C6352D"/>
    <w:rsid w:val="00C6455C"/>
    <w:rsid w:val="00C67B5C"/>
    <w:rsid w:val="00C67C39"/>
    <w:rsid w:val="00C709F5"/>
    <w:rsid w:val="00C72948"/>
    <w:rsid w:val="00C7313B"/>
    <w:rsid w:val="00C7375F"/>
    <w:rsid w:val="00C74542"/>
    <w:rsid w:val="00C74D6F"/>
    <w:rsid w:val="00C75031"/>
    <w:rsid w:val="00C75035"/>
    <w:rsid w:val="00C753CC"/>
    <w:rsid w:val="00C7571D"/>
    <w:rsid w:val="00C760F5"/>
    <w:rsid w:val="00C763B5"/>
    <w:rsid w:val="00C779B8"/>
    <w:rsid w:val="00C77BA7"/>
    <w:rsid w:val="00C77D80"/>
    <w:rsid w:val="00C807EF"/>
    <w:rsid w:val="00C80D29"/>
    <w:rsid w:val="00C81BE0"/>
    <w:rsid w:val="00C81E6C"/>
    <w:rsid w:val="00C822C1"/>
    <w:rsid w:val="00C824DF"/>
    <w:rsid w:val="00C83E82"/>
    <w:rsid w:val="00C852FF"/>
    <w:rsid w:val="00C85F36"/>
    <w:rsid w:val="00C86D64"/>
    <w:rsid w:val="00C87323"/>
    <w:rsid w:val="00C924FE"/>
    <w:rsid w:val="00C927E9"/>
    <w:rsid w:val="00C931AE"/>
    <w:rsid w:val="00C93699"/>
    <w:rsid w:val="00C9396D"/>
    <w:rsid w:val="00C93BB5"/>
    <w:rsid w:val="00C957BF"/>
    <w:rsid w:val="00C9663C"/>
    <w:rsid w:val="00C96D5C"/>
    <w:rsid w:val="00C97ADB"/>
    <w:rsid w:val="00CA021A"/>
    <w:rsid w:val="00CA0DBA"/>
    <w:rsid w:val="00CA1092"/>
    <w:rsid w:val="00CA12C2"/>
    <w:rsid w:val="00CA27A0"/>
    <w:rsid w:val="00CA383E"/>
    <w:rsid w:val="00CA3CD2"/>
    <w:rsid w:val="00CA4039"/>
    <w:rsid w:val="00CA431E"/>
    <w:rsid w:val="00CA5814"/>
    <w:rsid w:val="00CA6E8C"/>
    <w:rsid w:val="00CB01D9"/>
    <w:rsid w:val="00CB059C"/>
    <w:rsid w:val="00CB14DA"/>
    <w:rsid w:val="00CB182F"/>
    <w:rsid w:val="00CB19B1"/>
    <w:rsid w:val="00CB40BB"/>
    <w:rsid w:val="00CB4709"/>
    <w:rsid w:val="00CB48E0"/>
    <w:rsid w:val="00CB4C74"/>
    <w:rsid w:val="00CB6856"/>
    <w:rsid w:val="00CB6CE4"/>
    <w:rsid w:val="00CB6E04"/>
    <w:rsid w:val="00CB7567"/>
    <w:rsid w:val="00CB7625"/>
    <w:rsid w:val="00CC0228"/>
    <w:rsid w:val="00CC200C"/>
    <w:rsid w:val="00CC2E38"/>
    <w:rsid w:val="00CC3134"/>
    <w:rsid w:val="00CC5A90"/>
    <w:rsid w:val="00CC5DB1"/>
    <w:rsid w:val="00CD0E32"/>
    <w:rsid w:val="00CD23B3"/>
    <w:rsid w:val="00CD2F4E"/>
    <w:rsid w:val="00CD30D6"/>
    <w:rsid w:val="00CD69D2"/>
    <w:rsid w:val="00CD768D"/>
    <w:rsid w:val="00CE0027"/>
    <w:rsid w:val="00CE2208"/>
    <w:rsid w:val="00CE2266"/>
    <w:rsid w:val="00CE2328"/>
    <w:rsid w:val="00CE2E88"/>
    <w:rsid w:val="00CE4A2F"/>
    <w:rsid w:val="00CE56A0"/>
    <w:rsid w:val="00CE7389"/>
    <w:rsid w:val="00CF316D"/>
    <w:rsid w:val="00CF4F4F"/>
    <w:rsid w:val="00D01E5C"/>
    <w:rsid w:val="00D04D7F"/>
    <w:rsid w:val="00D066ED"/>
    <w:rsid w:val="00D11DCB"/>
    <w:rsid w:val="00D11FD6"/>
    <w:rsid w:val="00D14CF0"/>
    <w:rsid w:val="00D150CD"/>
    <w:rsid w:val="00D15102"/>
    <w:rsid w:val="00D15590"/>
    <w:rsid w:val="00D15718"/>
    <w:rsid w:val="00D15DA0"/>
    <w:rsid w:val="00D16B63"/>
    <w:rsid w:val="00D17135"/>
    <w:rsid w:val="00D2195A"/>
    <w:rsid w:val="00D22E30"/>
    <w:rsid w:val="00D25193"/>
    <w:rsid w:val="00D25B8B"/>
    <w:rsid w:val="00D2610B"/>
    <w:rsid w:val="00D26326"/>
    <w:rsid w:val="00D275E9"/>
    <w:rsid w:val="00D27670"/>
    <w:rsid w:val="00D27DB5"/>
    <w:rsid w:val="00D3022E"/>
    <w:rsid w:val="00D302D3"/>
    <w:rsid w:val="00D30751"/>
    <w:rsid w:val="00D315B1"/>
    <w:rsid w:val="00D33C6B"/>
    <w:rsid w:val="00D347F7"/>
    <w:rsid w:val="00D34952"/>
    <w:rsid w:val="00D35B01"/>
    <w:rsid w:val="00D36339"/>
    <w:rsid w:val="00D3748B"/>
    <w:rsid w:val="00D37D54"/>
    <w:rsid w:val="00D45D52"/>
    <w:rsid w:val="00D50D98"/>
    <w:rsid w:val="00D51AB2"/>
    <w:rsid w:val="00D52E04"/>
    <w:rsid w:val="00D56080"/>
    <w:rsid w:val="00D563E6"/>
    <w:rsid w:val="00D566CF"/>
    <w:rsid w:val="00D56849"/>
    <w:rsid w:val="00D57DED"/>
    <w:rsid w:val="00D57F17"/>
    <w:rsid w:val="00D60A54"/>
    <w:rsid w:val="00D654A2"/>
    <w:rsid w:val="00D6578B"/>
    <w:rsid w:val="00D67531"/>
    <w:rsid w:val="00D70932"/>
    <w:rsid w:val="00D712CD"/>
    <w:rsid w:val="00D7331A"/>
    <w:rsid w:val="00D755D2"/>
    <w:rsid w:val="00D75E23"/>
    <w:rsid w:val="00D76607"/>
    <w:rsid w:val="00D769A6"/>
    <w:rsid w:val="00D76A4B"/>
    <w:rsid w:val="00D76B33"/>
    <w:rsid w:val="00D80871"/>
    <w:rsid w:val="00D821CF"/>
    <w:rsid w:val="00D82A65"/>
    <w:rsid w:val="00D839AB"/>
    <w:rsid w:val="00D83EA3"/>
    <w:rsid w:val="00D83F21"/>
    <w:rsid w:val="00D84DC7"/>
    <w:rsid w:val="00D84FBE"/>
    <w:rsid w:val="00D84FD5"/>
    <w:rsid w:val="00D9005E"/>
    <w:rsid w:val="00D92254"/>
    <w:rsid w:val="00D92667"/>
    <w:rsid w:val="00D932D1"/>
    <w:rsid w:val="00D9510A"/>
    <w:rsid w:val="00D9580F"/>
    <w:rsid w:val="00D95A34"/>
    <w:rsid w:val="00D96C5A"/>
    <w:rsid w:val="00D971AE"/>
    <w:rsid w:val="00DA03EC"/>
    <w:rsid w:val="00DA094C"/>
    <w:rsid w:val="00DA3FAE"/>
    <w:rsid w:val="00DA41BF"/>
    <w:rsid w:val="00DA43CF"/>
    <w:rsid w:val="00DA4DE1"/>
    <w:rsid w:val="00DA5EA9"/>
    <w:rsid w:val="00DA606A"/>
    <w:rsid w:val="00DA62C1"/>
    <w:rsid w:val="00DA6EE9"/>
    <w:rsid w:val="00DB3428"/>
    <w:rsid w:val="00DB531D"/>
    <w:rsid w:val="00DB6475"/>
    <w:rsid w:val="00DB66E1"/>
    <w:rsid w:val="00DC20F0"/>
    <w:rsid w:val="00DC3F80"/>
    <w:rsid w:val="00DC4979"/>
    <w:rsid w:val="00DC5A67"/>
    <w:rsid w:val="00DC62AA"/>
    <w:rsid w:val="00DC6E71"/>
    <w:rsid w:val="00DC7B7E"/>
    <w:rsid w:val="00DD01BA"/>
    <w:rsid w:val="00DD0B73"/>
    <w:rsid w:val="00DD1605"/>
    <w:rsid w:val="00DD2C8A"/>
    <w:rsid w:val="00DD2C8F"/>
    <w:rsid w:val="00DD4026"/>
    <w:rsid w:val="00DD4057"/>
    <w:rsid w:val="00DD4323"/>
    <w:rsid w:val="00DD4D53"/>
    <w:rsid w:val="00DD58BC"/>
    <w:rsid w:val="00DD6453"/>
    <w:rsid w:val="00DD70CD"/>
    <w:rsid w:val="00DD7351"/>
    <w:rsid w:val="00DE16AE"/>
    <w:rsid w:val="00DE1E2F"/>
    <w:rsid w:val="00DE2884"/>
    <w:rsid w:val="00DE44E2"/>
    <w:rsid w:val="00DE44E3"/>
    <w:rsid w:val="00DE50EA"/>
    <w:rsid w:val="00DE65B1"/>
    <w:rsid w:val="00DE686B"/>
    <w:rsid w:val="00DF017B"/>
    <w:rsid w:val="00DF0AF8"/>
    <w:rsid w:val="00DF0DBF"/>
    <w:rsid w:val="00DF1898"/>
    <w:rsid w:val="00DF1CF3"/>
    <w:rsid w:val="00DF31EE"/>
    <w:rsid w:val="00DF38C2"/>
    <w:rsid w:val="00DF3EEA"/>
    <w:rsid w:val="00DF3F3E"/>
    <w:rsid w:val="00DF4DA4"/>
    <w:rsid w:val="00DF4E40"/>
    <w:rsid w:val="00DF5196"/>
    <w:rsid w:val="00DF5492"/>
    <w:rsid w:val="00DF61CB"/>
    <w:rsid w:val="00DF7AAB"/>
    <w:rsid w:val="00E01B47"/>
    <w:rsid w:val="00E02CCE"/>
    <w:rsid w:val="00E03880"/>
    <w:rsid w:val="00E04135"/>
    <w:rsid w:val="00E0419C"/>
    <w:rsid w:val="00E0657B"/>
    <w:rsid w:val="00E070B0"/>
    <w:rsid w:val="00E0726B"/>
    <w:rsid w:val="00E07B24"/>
    <w:rsid w:val="00E10064"/>
    <w:rsid w:val="00E121DF"/>
    <w:rsid w:val="00E1293F"/>
    <w:rsid w:val="00E13B6D"/>
    <w:rsid w:val="00E14159"/>
    <w:rsid w:val="00E14306"/>
    <w:rsid w:val="00E16F17"/>
    <w:rsid w:val="00E1749F"/>
    <w:rsid w:val="00E20DD5"/>
    <w:rsid w:val="00E21BCD"/>
    <w:rsid w:val="00E21DB1"/>
    <w:rsid w:val="00E22474"/>
    <w:rsid w:val="00E22840"/>
    <w:rsid w:val="00E22BE0"/>
    <w:rsid w:val="00E23891"/>
    <w:rsid w:val="00E250F0"/>
    <w:rsid w:val="00E25EA2"/>
    <w:rsid w:val="00E279C1"/>
    <w:rsid w:val="00E3168B"/>
    <w:rsid w:val="00E31793"/>
    <w:rsid w:val="00E3186D"/>
    <w:rsid w:val="00E32BFA"/>
    <w:rsid w:val="00E32F6B"/>
    <w:rsid w:val="00E34205"/>
    <w:rsid w:val="00E3482B"/>
    <w:rsid w:val="00E34D58"/>
    <w:rsid w:val="00E352CA"/>
    <w:rsid w:val="00E362EC"/>
    <w:rsid w:val="00E37EF7"/>
    <w:rsid w:val="00E40C12"/>
    <w:rsid w:val="00E417AE"/>
    <w:rsid w:val="00E42B47"/>
    <w:rsid w:val="00E43478"/>
    <w:rsid w:val="00E46826"/>
    <w:rsid w:val="00E46DF7"/>
    <w:rsid w:val="00E473BF"/>
    <w:rsid w:val="00E503E0"/>
    <w:rsid w:val="00E51149"/>
    <w:rsid w:val="00E5139A"/>
    <w:rsid w:val="00E5156A"/>
    <w:rsid w:val="00E5200B"/>
    <w:rsid w:val="00E521F8"/>
    <w:rsid w:val="00E5272D"/>
    <w:rsid w:val="00E539AD"/>
    <w:rsid w:val="00E5400C"/>
    <w:rsid w:val="00E5470C"/>
    <w:rsid w:val="00E54EBC"/>
    <w:rsid w:val="00E55907"/>
    <w:rsid w:val="00E566C3"/>
    <w:rsid w:val="00E60299"/>
    <w:rsid w:val="00E61C6A"/>
    <w:rsid w:val="00E61E44"/>
    <w:rsid w:val="00E61FC4"/>
    <w:rsid w:val="00E621ED"/>
    <w:rsid w:val="00E6252D"/>
    <w:rsid w:val="00E62691"/>
    <w:rsid w:val="00E63BA9"/>
    <w:rsid w:val="00E65799"/>
    <w:rsid w:val="00E65D39"/>
    <w:rsid w:val="00E65E41"/>
    <w:rsid w:val="00E6698A"/>
    <w:rsid w:val="00E66D9E"/>
    <w:rsid w:val="00E67C7E"/>
    <w:rsid w:val="00E7132E"/>
    <w:rsid w:val="00E71B30"/>
    <w:rsid w:val="00E7224D"/>
    <w:rsid w:val="00E73ACB"/>
    <w:rsid w:val="00E73D64"/>
    <w:rsid w:val="00E7496E"/>
    <w:rsid w:val="00E749E7"/>
    <w:rsid w:val="00E75B14"/>
    <w:rsid w:val="00E75BE3"/>
    <w:rsid w:val="00E75DA0"/>
    <w:rsid w:val="00E8083E"/>
    <w:rsid w:val="00E80A0F"/>
    <w:rsid w:val="00E80BC6"/>
    <w:rsid w:val="00E80EA4"/>
    <w:rsid w:val="00E8358A"/>
    <w:rsid w:val="00E85B27"/>
    <w:rsid w:val="00E86CF5"/>
    <w:rsid w:val="00E8740B"/>
    <w:rsid w:val="00E8743E"/>
    <w:rsid w:val="00E876DC"/>
    <w:rsid w:val="00E94589"/>
    <w:rsid w:val="00E951E7"/>
    <w:rsid w:val="00E96CE1"/>
    <w:rsid w:val="00E9733F"/>
    <w:rsid w:val="00EA0F93"/>
    <w:rsid w:val="00EA1785"/>
    <w:rsid w:val="00EA4517"/>
    <w:rsid w:val="00EA76DF"/>
    <w:rsid w:val="00EB0270"/>
    <w:rsid w:val="00EB14EA"/>
    <w:rsid w:val="00EB22E1"/>
    <w:rsid w:val="00EB22E5"/>
    <w:rsid w:val="00EB277A"/>
    <w:rsid w:val="00EB3BA4"/>
    <w:rsid w:val="00EB6004"/>
    <w:rsid w:val="00EC269A"/>
    <w:rsid w:val="00EC26E1"/>
    <w:rsid w:val="00EC2B7B"/>
    <w:rsid w:val="00EC4397"/>
    <w:rsid w:val="00EC4C9A"/>
    <w:rsid w:val="00EC4F63"/>
    <w:rsid w:val="00EC61AB"/>
    <w:rsid w:val="00EC635E"/>
    <w:rsid w:val="00EC64DA"/>
    <w:rsid w:val="00ED11B6"/>
    <w:rsid w:val="00ED18A8"/>
    <w:rsid w:val="00ED208B"/>
    <w:rsid w:val="00ED24CC"/>
    <w:rsid w:val="00ED2512"/>
    <w:rsid w:val="00ED3570"/>
    <w:rsid w:val="00ED47D6"/>
    <w:rsid w:val="00ED4922"/>
    <w:rsid w:val="00ED4EF1"/>
    <w:rsid w:val="00ED4FBA"/>
    <w:rsid w:val="00ED5087"/>
    <w:rsid w:val="00ED5401"/>
    <w:rsid w:val="00ED558A"/>
    <w:rsid w:val="00ED55A4"/>
    <w:rsid w:val="00ED58DB"/>
    <w:rsid w:val="00ED7DEC"/>
    <w:rsid w:val="00EE0025"/>
    <w:rsid w:val="00EE0B8F"/>
    <w:rsid w:val="00EE0BCD"/>
    <w:rsid w:val="00EE1362"/>
    <w:rsid w:val="00EE1BF1"/>
    <w:rsid w:val="00EE27E2"/>
    <w:rsid w:val="00EE2E30"/>
    <w:rsid w:val="00EE3BF9"/>
    <w:rsid w:val="00EE53BD"/>
    <w:rsid w:val="00EE6234"/>
    <w:rsid w:val="00EE7921"/>
    <w:rsid w:val="00EF02FC"/>
    <w:rsid w:val="00EF079C"/>
    <w:rsid w:val="00EF0824"/>
    <w:rsid w:val="00EF161B"/>
    <w:rsid w:val="00EF2386"/>
    <w:rsid w:val="00EF29AE"/>
    <w:rsid w:val="00EF45D2"/>
    <w:rsid w:val="00EF5AE3"/>
    <w:rsid w:val="00EF69AB"/>
    <w:rsid w:val="00EF69CA"/>
    <w:rsid w:val="00EF69EF"/>
    <w:rsid w:val="00EF6E61"/>
    <w:rsid w:val="00EF6FB6"/>
    <w:rsid w:val="00EF7DA7"/>
    <w:rsid w:val="00EF7F52"/>
    <w:rsid w:val="00EF7F57"/>
    <w:rsid w:val="00F022AC"/>
    <w:rsid w:val="00F0267E"/>
    <w:rsid w:val="00F02B82"/>
    <w:rsid w:val="00F03512"/>
    <w:rsid w:val="00F037A1"/>
    <w:rsid w:val="00F03BB9"/>
    <w:rsid w:val="00F04FDF"/>
    <w:rsid w:val="00F05AA7"/>
    <w:rsid w:val="00F05FE6"/>
    <w:rsid w:val="00F0611B"/>
    <w:rsid w:val="00F06BFD"/>
    <w:rsid w:val="00F06C6B"/>
    <w:rsid w:val="00F1013C"/>
    <w:rsid w:val="00F12524"/>
    <w:rsid w:val="00F134CA"/>
    <w:rsid w:val="00F139D3"/>
    <w:rsid w:val="00F14BDA"/>
    <w:rsid w:val="00F15954"/>
    <w:rsid w:val="00F1652D"/>
    <w:rsid w:val="00F165A0"/>
    <w:rsid w:val="00F17A63"/>
    <w:rsid w:val="00F17B36"/>
    <w:rsid w:val="00F17BA1"/>
    <w:rsid w:val="00F20AD5"/>
    <w:rsid w:val="00F20CCE"/>
    <w:rsid w:val="00F20D54"/>
    <w:rsid w:val="00F21889"/>
    <w:rsid w:val="00F2238A"/>
    <w:rsid w:val="00F22C36"/>
    <w:rsid w:val="00F22CAC"/>
    <w:rsid w:val="00F23D76"/>
    <w:rsid w:val="00F24A6D"/>
    <w:rsid w:val="00F2667A"/>
    <w:rsid w:val="00F26B21"/>
    <w:rsid w:val="00F26DF8"/>
    <w:rsid w:val="00F3201C"/>
    <w:rsid w:val="00F32A77"/>
    <w:rsid w:val="00F3307B"/>
    <w:rsid w:val="00F3342B"/>
    <w:rsid w:val="00F33662"/>
    <w:rsid w:val="00F35095"/>
    <w:rsid w:val="00F366E7"/>
    <w:rsid w:val="00F36F24"/>
    <w:rsid w:val="00F378AB"/>
    <w:rsid w:val="00F37F59"/>
    <w:rsid w:val="00F415CA"/>
    <w:rsid w:val="00F42249"/>
    <w:rsid w:val="00F4286E"/>
    <w:rsid w:val="00F43611"/>
    <w:rsid w:val="00F451EF"/>
    <w:rsid w:val="00F4763B"/>
    <w:rsid w:val="00F50043"/>
    <w:rsid w:val="00F505F7"/>
    <w:rsid w:val="00F50EA6"/>
    <w:rsid w:val="00F52DDF"/>
    <w:rsid w:val="00F545B8"/>
    <w:rsid w:val="00F54C99"/>
    <w:rsid w:val="00F557F8"/>
    <w:rsid w:val="00F55AC2"/>
    <w:rsid w:val="00F56ADF"/>
    <w:rsid w:val="00F570F8"/>
    <w:rsid w:val="00F60011"/>
    <w:rsid w:val="00F60213"/>
    <w:rsid w:val="00F60794"/>
    <w:rsid w:val="00F60D80"/>
    <w:rsid w:val="00F61764"/>
    <w:rsid w:val="00F61819"/>
    <w:rsid w:val="00F63735"/>
    <w:rsid w:val="00F63997"/>
    <w:rsid w:val="00F63AF5"/>
    <w:rsid w:val="00F6437B"/>
    <w:rsid w:val="00F653DE"/>
    <w:rsid w:val="00F66291"/>
    <w:rsid w:val="00F67A05"/>
    <w:rsid w:val="00F67F4D"/>
    <w:rsid w:val="00F70E1D"/>
    <w:rsid w:val="00F70F42"/>
    <w:rsid w:val="00F72F0A"/>
    <w:rsid w:val="00F7348B"/>
    <w:rsid w:val="00F74060"/>
    <w:rsid w:val="00F741A6"/>
    <w:rsid w:val="00F75DDB"/>
    <w:rsid w:val="00F7613C"/>
    <w:rsid w:val="00F76F52"/>
    <w:rsid w:val="00F77DDC"/>
    <w:rsid w:val="00F801B1"/>
    <w:rsid w:val="00F816C3"/>
    <w:rsid w:val="00F81B9B"/>
    <w:rsid w:val="00F81D4A"/>
    <w:rsid w:val="00F82306"/>
    <w:rsid w:val="00F831E3"/>
    <w:rsid w:val="00F849ED"/>
    <w:rsid w:val="00F85200"/>
    <w:rsid w:val="00F86411"/>
    <w:rsid w:val="00F91742"/>
    <w:rsid w:val="00F92536"/>
    <w:rsid w:val="00F93E04"/>
    <w:rsid w:val="00F93E06"/>
    <w:rsid w:val="00F95314"/>
    <w:rsid w:val="00F95849"/>
    <w:rsid w:val="00F96138"/>
    <w:rsid w:val="00F97780"/>
    <w:rsid w:val="00FA0275"/>
    <w:rsid w:val="00FA0438"/>
    <w:rsid w:val="00FA0505"/>
    <w:rsid w:val="00FA0615"/>
    <w:rsid w:val="00FA2120"/>
    <w:rsid w:val="00FA2A3F"/>
    <w:rsid w:val="00FA42AC"/>
    <w:rsid w:val="00FA49D6"/>
    <w:rsid w:val="00FA5AD9"/>
    <w:rsid w:val="00FA5F6E"/>
    <w:rsid w:val="00FA7B02"/>
    <w:rsid w:val="00FB1276"/>
    <w:rsid w:val="00FB1364"/>
    <w:rsid w:val="00FB151C"/>
    <w:rsid w:val="00FB1538"/>
    <w:rsid w:val="00FB206C"/>
    <w:rsid w:val="00FB2466"/>
    <w:rsid w:val="00FB3D70"/>
    <w:rsid w:val="00FB4825"/>
    <w:rsid w:val="00FB5339"/>
    <w:rsid w:val="00FB634E"/>
    <w:rsid w:val="00FB6564"/>
    <w:rsid w:val="00FB668E"/>
    <w:rsid w:val="00FB74DC"/>
    <w:rsid w:val="00FC007E"/>
    <w:rsid w:val="00FC0540"/>
    <w:rsid w:val="00FC1844"/>
    <w:rsid w:val="00FC2C10"/>
    <w:rsid w:val="00FC2FF1"/>
    <w:rsid w:val="00FC31AF"/>
    <w:rsid w:val="00FC6DBB"/>
    <w:rsid w:val="00FC7895"/>
    <w:rsid w:val="00FD0673"/>
    <w:rsid w:val="00FD2E5D"/>
    <w:rsid w:val="00FD3554"/>
    <w:rsid w:val="00FD38E7"/>
    <w:rsid w:val="00FD3DFB"/>
    <w:rsid w:val="00FD4680"/>
    <w:rsid w:val="00FD5F16"/>
    <w:rsid w:val="00FD6588"/>
    <w:rsid w:val="00FD7F68"/>
    <w:rsid w:val="00FE0B5B"/>
    <w:rsid w:val="00FE1385"/>
    <w:rsid w:val="00FE3150"/>
    <w:rsid w:val="00FE3247"/>
    <w:rsid w:val="00FE34F5"/>
    <w:rsid w:val="00FE4452"/>
    <w:rsid w:val="00FE6900"/>
    <w:rsid w:val="00FE6BFC"/>
    <w:rsid w:val="00FE6FE5"/>
    <w:rsid w:val="00FE70CC"/>
    <w:rsid w:val="00FE78B8"/>
    <w:rsid w:val="00FF28F1"/>
    <w:rsid w:val="00FF3944"/>
    <w:rsid w:val="00FF3E66"/>
    <w:rsid w:val="00FF418B"/>
    <w:rsid w:val="00FF57BA"/>
    <w:rsid w:val="00FF6B9E"/>
    <w:rsid w:val="00FF6C20"/>
    <w:rsid w:val="00FF7467"/>
    <w:rsid w:val="00FF79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DD4165"/>
  <w15:docId w15:val="{144F452E-07D8-41C8-9FAD-875B9345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rFonts w:ascii="Times New Roman" w:hAnsi="Times New Roman"/>
      <w:sz w:val="24"/>
      <w:lang w:val="fr-FR"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536"/>
        <w:tab w:val="right" w:pos="9072"/>
      </w:tabs>
    </w:pPr>
  </w:style>
  <w:style w:type="character" w:styleId="Numeropagina">
    <w:name w:val="page number"/>
    <w:basedOn w:val="Carpredefinitoparagrafo"/>
  </w:style>
  <w:style w:type="paragraph" w:styleId="Rientrocorpodeltesto">
    <w:name w:val="Body Text Indent"/>
    <w:basedOn w:val="Normale"/>
    <w:pPr>
      <w:ind w:left="426" w:hanging="426"/>
    </w:pPr>
  </w:style>
  <w:style w:type="paragraph" w:styleId="Corpotesto">
    <w:name w:val="Body Text"/>
    <w:basedOn w:val="Normale"/>
    <w:pPr>
      <w:ind w:right="38"/>
    </w:pPr>
  </w:style>
  <w:style w:type="paragraph" w:styleId="Rientrocorpodeltesto2">
    <w:name w:val="Body Text Indent 2"/>
    <w:basedOn w:val="Normale"/>
    <w:pPr>
      <w:ind w:right="38" w:firstLine="567"/>
    </w:pPr>
  </w:style>
  <w:style w:type="paragraph" w:styleId="Corpodeltesto2">
    <w:name w:val="Body Text 2"/>
    <w:basedOn w:val="Normale"/>
    <w:pPr>
      <w:ind w:right="38"/>
    </w:pPr>
  </w:style>
  <w:style w:type="paragraph" w:styleId="Testodelblocco">
    <w:name w:val="Block Text"/>
    <w:basedOn w:val="Normale"/>
    <w:pPr>
      <w:ind w:left="851" w:right="38" w:hanging="425"/>
    </w:pPr>
  </w:style>
  <w:style w:type="paragraph" w:styleId="Rientrocorpodeltesto3">
    <w:name w:val="Body Text Indent 3"/>
    <w:basedOn w:val="Normale"/>
    <w:pPr>
      <w:ind w:left="426"/>
    </w:pPr>
  </w:style>
  <w:style w:type="paragraph" w:styleId="Corpodeltesto3">
    <w:name w:val="Body Text 3"/>
    <w:basedOn w:val="Normale"/>
    <w:pPr>
      <w:ind w:right="-22"/>
      <w:jc w:val="center"/>
    </w:pPr>
  </w:style>
  <w:style w:type="paragraph" w:styleId="NormaleWeb">
    <w:name w:val="Normal (Web)"/>
    <w:basedOn w:val="Normale"/>
    <w:uiPriority w:val="99"/>
    <w:rPr>
      <w:rFonts w:eastAsia="Arial Unicode MS" w:cs="Arial Unicode MS"/>
      <w:szCs w:val="24"/>
    </w:rPr>
  </w:style>
  <w:style w:type="paragraph" w:customStyle="1" w:styleId="Entte">
    <w:name w:val="En tête"/>
    <w:basedOn w:val="Testodelblocco"/>
    <w:pPr>
      <w:ind w:left="567" w:hanging="567"/>
    </w:pPr>
  </w:style>
  <w:style w:type="paragraph" w:styleId="Intestazione">
    <w:name w:val="header"/>
    <w:basedOn w:val="Normale"/>
    <w:pPr>
      <w:tabs>
        <w:tab w:val="center" w:pos="4153"/>
        <w:tab w:val="right" w:pos="8306"/>
      </w:tabs>
    </w:pPr>
  </w:style>
  <w:style w:type="paragraph" w:customStyle="1" w:styleId="titrearticle">
    <w:name w:val="titre article"/>
    <w:basedOn w:val="Pidipagina"/>
    <w:pPr>
      <w:tabs>
        <w:tab w:val="clear" w:pos="4536"/>
        <w:tab w:val="clear" w:pos="9072"/>
      </w:tabs>
      <w:spacing w:line="360" w:lineRule="auto"/>
      <w:jc w:val="center"/>
    </w:pPr>
  </w:style>
  <w:style w:type="table" w:styleId="Grigliatabella">
    <w:name w:val="Table Grid"/>
    <w:basedOn w:val="Tabellanormale"/>
    <w:rsid w:val="0006527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9D54E0"/>
    <w:rPr>
      <w:i/>
      <w:iCs/>
    </w:rPr>
  </w:style>
  <w:style w:type="character" w:customStyle="1" w:styleId="titleblue1">
    <w:name w:val="titleblue1"/>
    <w:rsid w:val="007D6B5A"/>
    <w:rPr>
      <w:b/>
      <w:bCs/>
      <w:color w:val="003399"/>
      <w:sz w:val="20"/>
      <w:szCs w:val="20"/>
    </w:rPr>
  </w:style>
  <w:style w:type="paragraph" w:styleId="Testofumetto">
    <w:name w:val="Balloon Text"/>
    <w:basedOn w:val="Normale"/>
    <w:semiHidden/>
    <w:rsid w:val="007E31F3"/>
    <w:rPr>
      <w:rFonts w:ascii="Tahoma" w:hAnsi="Tahoma" w:cs="Tahoma"/>
      <w:sz w:val="16"/>
      <w:szCs w:val="16"/>
    </w:rPr>
  </w:style>
  <w:style w:type="character" w:customStyle="1" w:styleId="apple-converted-space">
    <w:name w:val="apple-converted-space"/>
    <w:rsid w:val="006A63BE"/>
  </w:style>
  <w:style w:type="character" w:styleId="Collegamentoipertestuale">
    <w:name w:val="Hyperlink"/>
    <w:uiPriority w:val="99"/>
    <w:unhideWhenUsed/>
    <w:rsid w:val="006A63BE"/>
    <w:rPr>
      <w:color w:val="0000FF"/>
      <w:u w:val="single"/>
    </w:rPr>
  </w:style>
  <w:style w:type="paragraph" w:styleId="Testonotaapidipagina">
    <w:name w:val="footnote text"/>
    <w:basedOn w:val="Normale"/>
    <w:link w:val="TestonotaapidipaginaCarattere"/>
    <w:rsid w:val="00CA6E8C"/>
    <w:rPr>
      <w:sz w:val="20"/>
    </w:rPr>
  </w:style>
  <w:style w:type="character" w:customStyle="1" w:styleId="TestonotaapidipaginaCarattere">
    <w:name w:val="Testo nota a piè di pagina Carattere"/>
    <w:link w:val="Testonotaapidipagina"/>
    <w:rsid w:val="00CA6E8C"/>
    <w:rPr>
      <w:rFonts w:ascii="Times New Roman" w:hAnsi="Times New Roman"/>
      <w:lang w:val="fr-FR" w:eastAsia="en-US"/>
    </w:rPr>
  </w:style>
  <w:style w:type="character" w:styleId="Rimandonotaapidipagina">
    <w:name w:val="footnote reference"/>
    <w:rsid w:val="00CA6E8C"/>
    <w:rPr>
      <w:vertAlign w:val="superscript"/>
    </w:rPr>
  </w:style>
  <w:style w:type="character" w:customStyle="1" w:styleId="PidipaginaCarattere">
    <w:name w:val="Piè di pagina Carattere"/>
    <w:link w:val="Pidipagina"/>
    <w:uiPriority w:val="99"/>
    <w:rsid w:val="00E71B30"/>
    <w:rPr>
      <w:rFonts w:ascii="Times New Roman" w:hAnsi="Times New Roman"/>
      <w:sz w:val="24"/>
      <w:lang w:val="fr-FR" w:eastAsia="en-US"/>
    </w:rPr>
  </w:style>
  <w:style w:type="paragraph" w:styleId="Paragrafoelenco">
    <w:name w:val="List Paragraph"/>
    <w:basedOn w:val="Normale"/>
    <w:uiPriority w:val="34"/>
    <w:qFormat/>
    <w:rsid w:val="00682CF2"/>
    <w:pPr>
      <w:ind w:left="720"/>
      <w:contextualSpacing/>
    </w:pPr>
  </w:style>
  <w:style w:type="paragraph" w:customStyle="1" w:styleId="Default">
    <w:name w:val="Default"/>
    <w:rsid w:val="001027B2"/>
    <w:pPr>
      <w:autoSpaceDE w:val="0"/>
      <w:autoSpaceDN w:val="0"/>
      <w:adjustRightInd w:val="0"/>
    </w:pPr>
    <w:rPr>
      <w:rFonts w:ascii="Times New Roman" w:hAnsi="Times New Roman"/>
      <w:color w:val="000000"/>
      <w:sz w:val="24"/>
      <w:szCs w:val="24"/>
    </w:rPr>
  </w:style>
  <w:style w:type="character" w:styleId="Collegamentovisitato">
    <w:name w:val="FollowedHyperlink"/>
    <w:basedOn w:val="Carpredefinitoparagrafo"/>
    <w:rsid w:val="001F43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942">
      <w:bodyDiv w:val="1"/>
      <w:marLeft w:val="0"/>
      <w:marRight w:val="0"/>
      <w:marTop w:val="0"/>
      <w:marBottom w:val="0"/>
      <w:divBdr>
        <w:top w:val="none" w:sz="0" w:space="0" w:color="auto"/>
        <w:left w:val="none" w:sz="0" w:space="0" w:color="auto"/>
        <w:bottom w:val="none" w:sz="0" w:space="0" w:color="auto"/>
        <w:right w:val="none" w:sz="0" w:space="0" w:color="auto"/>
      </w:divBdr>
    </w:div>
    <w:div w:id="141433344">
      <w:bodyDiv w:val="1"/>
      <w:marLeft w:val="0"/>
      <w:marRight w:val="0"/>
      <w:marTop w:val="0"/>
      <w:marBottom w:val="0"/>
      <w:divBdr>
        <w:top w:val="none" w:sz="0" w:space="0" w:color="auto"/>
        <w:left w:val="none" w:sz="0" w:space="0" w:color="auto"/>
        <w:bottom w:val="none" w:sz="0" w:space="0" w:color="auto"/>
        <w:right w:val="none" w:sz="0" w:space="0" w:color="auto"/>
      </w:divBdr>
    </w:div>
    <w:div w:id="355734048">
      <w:bodyDiv w:val="1"/>
      <w:marLeft w:val="0"/>
      <w:marRight w:val="0"/>
      <w:marTop w:val="0"/>
      <w:marBottom w:val="0"/>
      <w:divBdr>
        <w:top w:val="none" w:sz="0" w:space="0" w:color="auto"/>
        <w:left w:val="none" w:sz="0" w:space="0" w:color="auto"/>
        <w:bottom w:val="none" w:sz="0" w:space="0" w:color="auto"/>
        <w:right w:val="none" w:sz="0" w:space="0" w:color="auto"/>
      </w:divBdr>
    </w:div>
    <w:div w:id="493108516">
      <w:bodyDiv w:val="1"/>
      <w:marLeft w:val="0"/>
      <w:marRight w:val="0"/>
      <w:marTop w:val="0"/>
      <w:marBottom w:val="0"/>
      <w:divBdr>
        <w:top w:val="none" w:sz="0" w:space="0" w:color="auto"/>
        <w:left w:val="none" w:sz="0" w:space="0" w:color="auto"/>
        <w:bottom w:val="none" w:sz="0" w:space="0" w:color="auto"/>
        <w:right w:val="none" w:sz="0" w:space="0" w:color="auto"/>
      </w:divBdr>
    </w:div>
    <w:div w:id="496767457">
      <w:bodyDiv w:val="1"/>
      <w:marLeft w:val="0"/>
      <w:marRight w:val="0"/>
      <w:marTop w:val="0"/>
      <w:marBottom w:val="0"/>
      <w:divBdr>
        <w:top w:val="none" w:sz="0" w:space="0" w:color="auto"/>
        <w:left w:val="none" w:sz="0" w:space="0" w:color="auto"/>
        <w:bottom w:val="none" w:sz="0" w:space="0" w:color="auto"/>
        <w:right w:val="none" w:sz="0" w:space="0" w:color="auto"/>
      </w:divBdr>
    </w:div>
    <w:div w:id="506095523">
      <w:bodyDiv w:val="1"/>
      <w:marLeft w:val="0"/>
      <w:marRight w:val="0"/>
      <w:marTop w:val="0"/>
      <w:marBottom w:val="0"/>
      <w:divBdr>
        <w:top w:val="none" w:sz="0" w:space="0" w:color="auto"/>
        <w:left w:val="none" w:sz="0" w:space="0" w:color="auto"/>
        <w:bottom w:val="none" w:sz="0" w:space="0" w:color="auto"/>
        <w:right w:val="none" w:sz="0" w:space="0" w:color="auto"/>
      </w:divBdr>
    </w:div>
    <w:div w:id="515121239">
      <w:bodyDiv w:val="1"/>
      <w:marLeft w:val="0"/>
      <w:marRight w:val="0"/>
      <w:marTop w:val="0"/>
      <w:marBottom w:val="0"/>
      <w:divBdr>
        <w:top w:val="none" w:sz="0" w:space="0" w:color="auto"/>
        <w:left w:val="none" w:sz="0" w:space="0" w:color="auto"/>
        <w:bottom w:val="none" w:sz="0" w:space="0" w:color="auto"/>
        <w:right w:val="none" w:sz="0" w:space="0" w:color="auto"/>
      </w:divBdr>
    </w:div>
    <w:div w:id="555435388">
      <w:bodyDiv w:val="1"/>
      <w:marLeft w:val="0"/>
      <w:marRight w:val="0"/>
      <w:marTop w:val="0"/>
      <w:marBottom w:val="0"/>
      <w:divBdr>
        <w:top w:val="none" w:sz="0" w:space="0" w:color="auto"/>
        <w:left w:val="none" w:sz="0" w:space="0" w:color="auto"/>
        <w:bottom w:val="none" w:sz="0" w:space="0" w:color="auto"/>
        <w:right w:val="none" w:sz="0" w:space="0" w:color="auto"/>
      </w:divBdr>
    </w:div>
    <w:div w:id="638800176">
      <w:bodyDiv w:val="1"/>
      <w:marLeft w:val="0"/>
      <w:marRight w:val="0"/>
      <w:marTop w:val="0"/>
      <w:marBottom w:val="0"/>
      <w:divBdr>
        <w:top w:val="none" w:sz="0" w:space="0" w:color="auto"/>
        <w:left w:val="none" w:sz="0" w:space="0" w:color="auto"/>
        <w:bottom w:val="none" w:sz="0" w:space="0" w:color="auto"/>
        <w:right w:val="none" w:sz="0" w:space="0" w:color="auto"/>
      </w:divBdr>
    </w:div>
    <w:div w:id="731924150">
      <w:bodyDiv w:val="1"/>
      <w:marLeft w:val="0"/>
      <w:marRight w:val="0"/>
      <w:marTop w:val="0"/>
      <w:marBottom w:val="0"/>
      <w:divBdr>
        <w:top w:val="none" w:sz="0" w:space="0" w:color="auto"/>
        <w:left w:val="none" w:sz="0" w:space="0" w:color="auto"/>
        <w:bottom w:val="none" w:sz="0" w:space="0" w:color="auto"/>
        <w:right w:val="none" w:sz="0" w:space="0" w:color="auto"/>
      </w:divBdr>
    </w:div>
    <w:div w:id="809442379">
      <w:bodyDiv w:val="1"/>
      <w:marLeft w:val="0"/>
      <w:marRight w:val="0"/>
      <w:marTop w:val="0"/>
      <w:marBottom w:val="0"/>
      <w:divBdr>
        <w:top w:val="none" w:sz="0" w:space="0" w:color="auto"/>
        <w:left w:val="none" w:sz="0" w:space="0" w:color="auto"/>
        <w:bottom w:val="none" w:sz="0" w:space="0" w:color="auto"/>
        <w:right w:val="none" w:sz="0" w:space="0" w:color="auto"/>
      </w:divBdr>
    </w:div>
    <w:div w:id="957762280">
      <w:bodyDiv w:val="1"/>
      <w:marLeft w:val="0"/>
      <w:marRight w:val="0"/>
      <w:marTop w:val="0"/>
      <w:marBottom w:val="0"/>
      <w:divBdr>
        <w:top w:val="none" w:sz="0" w:space="0" w:color="auto"/>
        <w:left w:val="none" w:sz="0" w:space="0" w:color="auto"/>
        <w:bottom w:val="none" w:sz="0" w:space="0" w:color="auto"/>
        <w:right w:val="none" w:sz="0" w:space="0" w:color="auto"/>
      </w:divBdr>
    </w:div>
    <w:div w:id="1077826014">
      <w:bodyDiv w:val="1"/>
      <w:marLeft w:val="0"/>
      <w:marRight w:val="0"/>
      <w:marTop w:val="0"/>
      <w:marBottom w:val="0"/>
      <w:divBdr>
        <w:top w:val="none" w:sz="0" w:space="0" w:color="auto"/>
        <w:left w:val="none" w:sz="0" w:space="0" w:color="auto"/>
        <w:bottom w:val="none" w:sz="0" w:space="0" w:color="auto"/>
        <w:right w:val="none" w:sz="0" w:space="0" w:color="auto"/>
      </w:divBdr>
      <w:divsChild>
        <w:div w:id="2021003383">
          <w:marLeft w:val="0"/>
          <w:marRight w:val="0"/>
          <w:marTop w:val="0"/>
          <w:marBottom w:val="0"/>
          <w:divBdr>
            <w:top w:val="none" w:sz="0" w:space="0" w:color="auto"/>
            <w:left w:val="none" w:sz="0" w:space="0" w:color="auto"/>
            <w:bottom w:val="none" w:sz="0" w:space="0" w:color="auto"/>
            <w:right w:val="none" w:sz="0" w:space="0" w:color="auto"/>
          </w:divBdr>
          <w:divsChild>
            <w:div w:id="506481995">
              <w:marLeft w:val="0"/>
              <w:marRight w:val="0"/>
              <w:marTop w:val="0"/>
              <w:marBottom w:val="0"/>
              <w:divBdr>
                <w:top w:val="none" w:sz="0" w:space="0" w:color="auto"/>
                <w:left w:val="none" w:sz="0" w:space="0" w:color="auto"/>
                <w:bottom w:val="none" w:sz="0" w:space="0" w:color="auto"/>
                <w:right w:val="none" w:sz="0" w:space="0" w:color="auto"/>
              </w:divBdr>
            </w:div>
            <w:div w:id="1276866704">
              <w:marLeft w:val="0"/>
              <w:marRight w:val="0"/>
              <w:marTop w:val="0"/>
              <w:marBottom w:val="0"/>
              <w:divBdr>
                <w:top w:val="none" w:sz="0" w:space="0" w:color="auto"/>
                <w:left w:val="none" w:sz="0" w:space="0" w:color="auto"/>
                <w:bottom w:val="none" w:sz="0" w:space="0" w:color="auto"/>
                <w:right w:val="none" w:sz="0" w:space="0" w:color="auto"/>
              </w:divBdr>
            </w:div>
            <w:div w:id="12942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7929">
      <w:bodyDiv w:val="1"/>
      <w:marLeft w:val="0"/>
      <w:marRight w:val="0"/>
      <w:marTop w:val="0"/>
      <w:marBottom w:val="0"/>
      <w:divBdr>
        <w:top w:val="none" w:sz="0" w:space="0" w:color="auto"/>
        <w:left w:val="none" w:sz="0" w:space="0" w:color="auto"/>
        <w:bottom w:val="none" w:sz="0" w:space="0" w:color="auto"/>
        <w:right w:val="none" w:sz="0" w:space="0" w:color="auto"/>
      </w:divBdr>
    </w:div>
    <w:div w:id="1104374660">
      <w:bodyDiv w:val="1"/>
      <w:marLeft w:val="0"/>
      <w:marRight w:val="0"/>
      <w:marTop w:val="0"/>
      <w:marBottom w:val="0"/>
      <w:divBdr>
        <w:top w:val="none" w:sz="0" w:space="0" w:color="auto"/>
        <w:left w:val="none" w:sz="0" w:space="0" w:color="auto"/>
        <w:bottom w:val="none" w:sz="0" w:space="0" w:color="auto"/>
        <w:right w:val="none" w:sz="0" w:space="0" w:color="auto"/>
      </w:divBdr>
    </w:div>
    <w:div w:id="1113943817">
      <w:bodyDiv w:val="1"/>
      <w:marLeft w:val="0"/>
      <w:marRight w:val="0"/>
      <w:marTop w:val="0"/>
      <w:marBottom w:val="0"/>
      <w:divBdr>
        <w:top w:val="none" w:sz="0" w:space="0" w:color="auto"/>
        <w:left w:val="none" w:sz="0" w:space="0" w:color="auto"/>
        <w:bottom w:val="none" w:sz="0" w:space="0" w:color="auto"/>
        <w:right w:val="none" w:sz="0" w:space="0" w:color="auto"/>
      </w:divBdr>
    </w:div>
    <w:div w:id="1242135695">
      <w:bodyDiv w:val="1"/>
      <w:marLeft w:val="0"/>
      <w:marRight w:val="0"/>
      <w:marTop w:val="0"/>
      <w:marBottom w:val="0"/>
      <w:divBdr>
        <w:top w:val="none" w:sz="0" w:space="0" w:color="auto"/>
        <w:left w:val="none" w:sz="0" w:space="0" w:color="auto"/>
        <w:bottom w:val="none" w:sz="0" w:space="0" w:color="auto"/>
        <w:right w:val="none" w:sz="0" w:space="0" w:color="auto"/>
      </w:divBdr>
    </w:div>
    <w:div w:id="1309284577">
      <w:bodyDiv w:val="1"/>
      <w:marLeft w:val="0"/>
      <w:marRight w:val="0"/>
      <w:marTop w:val="0"/>
      <w:marBottom w:val="0"/>
      <w:divBdr>
        <w:top w:val="none" w:sz="0" w:space="0" w:color="auto"/>
        <w:left w:val="none" w:sz="0" w:space="0" w:color="auto"/>
        <w:bottom w:val="none" w:sz="0" w:space="0" w:color="auto"/>
        <w:right w:val="none" w:sz="0" w:space="0" w:color="auto"/>
      </w:divBdr>
    </w:div>
    <w:div w:id="1472089961">
      <w:bodyDiv w:val="1"/>
      <w:marLeft w:val="0"/>
      <w:marRight w:val="0"/>
      <w:marTop w:val="0"/>
      <w:marBottom w:val="0"/>
      <w:divBdr>
        <w:top w:val="none" w:sz="0" w:space="0" w:color="auto"/>
        <w:left w:val="none" w:sz="0" w:space="0" w:color="auto"/>
        <w:bottom w:val="none" w:sz="0" w:space="0" w:color="auto"/>
        <w:right w:val="none" w:sz="0" w:space="0" w:color="auto"/>
      </w:divBdr>
    </w:div>
    <w:div w:id="1685356413">
      <w:bodyDiv w:val="1"/>
      <w:marLeft w:val="0"/>
      <w:marRight w:val="0"/>
      <w:marTop w:val="0"/>
      <w:marBottom w:val="0"/>
      <w:divBdr>
        <w:top w:val="none" w:sz="0" w:space="0" w:color="auto"/>
        <w:left w:val="none" w:sz="0" w:space="0" w:color="auto"/>
        <w:bottom w:val="none" w:sz="0" w:space="0" w:color="auto"/>
        <w:right w:val="none" w:sz="0" w:space="0" w:color="auto"/>
      </w:divBdr>
    </w:div>
    <w:div w:id="1686706317">
      <w:bodyDiv w:val="1"/>
      <w:marLeft w:val="0"/>
      <w:marRight w:val="0"/>
      <w:marTop w:val="0"/>
      <w:marBottom w:val="0"/>
      <w:divBdr>
        <w:top w:val="none" w:sz="0" w:space="0" w:color="auto"/>
        <w:left w:val="none" w:sz="0" w:space="0" w:color="auto"/>
        <w:bottom w:val="none" w:sz="0" w:space="0" w:color="auto"/>
        <w:right w:val="none" w:sz="0" w:space="0" w:color="auto"/>
      </w:divBdr>
    </w:div>
    <w:div w:id="1696686038">
      <w:bodyDiv w:val="1"/>
      <w:marLeft w:val="0"/>
      <w:marRight w:val="0"/>
      <w:marTop w:val="0"/>
      <w:marBottom w:val="0"/>
      <w:divBdr>
        <w:top w:val="none" w:sz="0" w:space="0" w:color="auto"/>
        <w:left w:val="none" w:sz="0" w:space="0" w:color="auto"/>
        <w:bottom w:val="none" w:sz="0" w:space="0" w:color="auto"/>
        <w:right w:val="none" w:sz="0" w:space="0" w:color="auto"/>
      </w:divBdr>
    </w:div>
    <w:div w:id="1734305948">
      <w:bodyDiv w:val="1"/>
      <w:marLeft w:val="0"/>
      <w:marRight w:val="0"/>
      <w:marTop w:val="0"/>
      <w:marBottom w:val="0"/>
      <w:divBdr>
        <w:top w:val="none" w:sz="0" w:space="0" w:color="auto"/>
        <w:left w:val="none" w:sz="0" w:space="0" w:color="auto"/>
        <w:bottom w:val="none" w:sz="0" w:space="0" w:color="auto"/>
        <w:right w:val="none" w:sz="0" w:space="0" w:color="auto"/>
      </w:divBdr>
      <w:divsChild>
        <w:div w:id="758140986">
          <w:marLeft w:val="0"/>
          <w:marRight w:val="0"/>
          <w:marTop w:val="0"/>
          <w:marBottom w:val="0"/>
          <w:divBdr>
            <w:top w:val="none" w:sz="0" w:space="0" w:color="auto"/>
            <w:left w:val="none" w:sz="0" w:space="0" w:color="auto"/>
            <w:bottom w:val="none" w:sz="0" w:space="0" w:color="auto"/>
            <w:right w:val="none" w:sz="0" w:space="0" w:color="auto"/>
          </w:divBdr>
        </w:div>
        <w:div w:id="795295056">
          <w:marLeft w:val="0"/>
          <w:marRight w:val="0"/>
          <w:marTop w:val="0"/>
          <w:marBottom w:val="0"/>
          <w:divBdr>
            <w:top w:val="none" w:sz="0" w:space="0" w:color="auto"/>
            <w:left w:val="none" w:sz="0" w:space="0" w:color="auto"/>
            <w:bottom w:val="none" w:sz="0" w:space="0" w:color="auto"/>
            <w:right w:val="none" w:sz="0" w:space="0" w:color="auto"/>
          </w:divBdr>
        </w:div>
        <w:div w:id="822892461">
          <w:marLeft w:val="0"/>
          <w:marRight w:val="0"/>
          <w:marTop w:val="0"/>
          <w:marBottom w:val="0"/>
          <w:divBdr>
            <w:top w:val="none" w:sz="0" w:space="0" w:color="auto"/>
            <w:left w:val="none" w:sz="0" w:space="0" w:color="auto"/>
            <w:bottom w:val="none" w:sz="0" w:space="0" w:color="auto"/>
            <w:right w:val="none" w:sz="0" w:space="0" w:color="auto"/>
          </w:divBdr>
        </w:div>
        <w:div w:id="918441841">
          <w:marLeft w:val="0"/>
          <w:marRight w:val="0"/>
          <w:marTop w:val="0"/>
          <w:marBottom w:val="0"/>
          <w:divBdr>
            <w:top w:val="none" w:sz="0" w:space="0" w:color="auto"/>
            <w:left w:val="none" w:sz="0" w:space="0" w:color="auto"/>
            <w:bottom w:val="none" w:sz="0" w:space="0" w:color="auto"/>
            <w:right w:val="none" w:sz="0" w:space="0" w:color="auto"/>
          </w:divBdr>
        </w:div>
        <w:div w:id="1304434290">
          <w:marLeft w:val="0"/>
          <w:marRight w:val="0"/>
          <w:marTop w:val="0"/>
          <w:marBottom w:val="0"/>
          <w:divBdr>
            <w:top w:val="none" w:sz="0" w:space="0" w:color="auto"/>
            <w:left w:val="none" w:sz="0" w:space="0" w:color="auto"/>
            <w:bottom w:val="none" w:sz="0" w:space="0" w:color="auto"/>
            <w:right w:val="none" w:sz="0" w:space="0" w:color="auto"/>
          </w:divBdr>
        </w:div>
      </w:divsChild>
    </w:div>
    <w:div w:id="1743520759">
      <w:bodyDiv w:val="1"/>
      <w:marLeft w:val="0"/>
      <w:marRight w:val="0"/>
      <w:marTop w:val="0"/>
      <w:marBottom w:val="0"/>
      <w:divBdr>
        <w:top w:val="none" w:sz="0" w:space="0" w:color="auto"/>
        <w:left w:val="none" w:sz="0" w:space="0" w:color="auto"/>
        <w:bottom w:val="none" w:sz="0" w:space="0" w:color="auto"/>
        <w:right w:val="none" w:sz="0" w:space="0" w:color="auto"/>
      </w:divBdr>
    </w:div>
    <w:div w:id="1775401060">
      <w:bodyDiv w:val="1"/>
      <w:marLeft w:val="0"/>
      <w:marRight w:val="0"/>
      <w:marTop w:val="0"/>
      <w:marBottom w:val="0"/>
      <w:divBdr>
        <w:top w:val="none" w:sz="0" w:space="0" w:color="auto"/>
        <w:left w:val="none" w:sz="0" w:space="0" w:color="auto"/>
        <w:bottom w:val="none" w:sz="0" w:space="0" w:color="auto"/>
        <w:right w:val="none" w:sz="0" w:space="0" w:color="auto"/>
      </w:divBdr>
    </w:div>
    <w:div w:id="1923222304">
      <w:bodyDiv w:val="1"/>
      <w:marLeft w:val="0"/>
      <w:marRight w:val="0"/>
      <w:marTop w:val="0"/>
      <w:marBottom w:val="0"/>
      <w:divBdr>
        <w:top w:val="none" w:sz="0" w:space="0" w:color="auto"/>
        <w:left w:val="none" w:sz="0" w:space="0" w:color="auto"/>
        <w:bottom w:val="none" w:sz="0" w:space="0" w:color="auto"/>
        <w:right w:val="none" w:sz="0" w:space="0" w:color="auto"/>
      </w:divBdr>
    </w:div>
    <w:div w:id="1955863766">
      <w:bodyDiv w:val="1"/>
      <w:marLeft w:val="0"/>
      <w:marRight w:val="0"/>
      <w:marTop w:val="0"/>
      <w:marBottom w:val="0"/>
      <w:divBdr>
        <w:top w:val="none" w:sz="0" w:space="0" w:color="auto"/>
        <w:left w:val="none" w:sz="0" w:space="0" w:color="auto"/>
        <w:bottom w:val="none" w:sz="0" w:space="0" w:color="auto"/>
        <w:right w:val="none" w:sz="0" w:space="0" w:color="auto"/>
      </w:divBdr>
    </w:div>
    <w:div w:id="20405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7E002-47CB-426A-93B1-420B22E68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1116</Words>
  <Characters>6367</Characters>
  <Application>Microsoft Office Word</Application>
  <DocSecurity>0</DocSecurity>
  <Lines>53</Lines>
  <Paragraphs>14</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Loi régionale n° 18 du 24 juillet 2000,</vt:lpstr>
      <vt:lpstr>Loi régionale n° 18 du 24 juillet 2000,</vt:lpstr>
    </vt:vector>
  </TitlesOfParts>
  <Company>Packard Bell NEC, Inc.</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régionale n° 18 du 24 juillet 2000,</dc:title>
  <dc:creator>Packard Bell NEC, Inc.</dc:creator>
  <cp:lastModifiedBy>pnale</cp:lastModifiedBy>
  <cp:revision>10</cp:revision>
  <cp:lastPrinted>2013-04-03T15:53:00Z</cp:lastPrinted>
  <dcterms:created xsi:type="dcterms:W3CDTF">2018-03-19T15:26:00Z</dcterms:created>
  <dcterms:modified xsi:type="dcterms:W3CDTF">2018-05-31T09:30:00Z</dcterms:modified>
</cp:coreProperties>
</file>