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Tabella G </w:t>
      </w:r>
    </w:p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Impianti con trattamento biologico parziale (piccoli impianti) </w:t>
      </w:r>
    </w:p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Si applicano nei centri con punte stagionali di popolazione servita superiore ai 3.000 abitanti ed inferiore a 4.000 abitanti (od inferiori a 3.000 abitanti quando non possa essere assicurato dal ricettore il rapporto di diluizione di almeno 30 volte richiesto per la semplice decantazione) ubicati a quota superiore ai 700 m </w:t>
      </w:r>
      <w:proofErr w:type="spellStart"/>
      <w:r w:rsidRPr="00B40317">
        <w:rPr>
          <w:rFonts w:ascii="Times New Roman" w:hAnsi="Times New Roman"/>
          <w:sz w:val="24"/>
          <w:szCs w:val="24"/>
        </w:rPr>
        <w:t>slm</w:t>
      </w:r>
      <w:proofErr w:type="spellEnd"/>
      <w:r w:rsidRPr="00B40317">
        <w:rPr>
          <w:rFonts w:ascii="Times New Roman" w:hAnsi="Times New Roman"/>
          <w:sz w:val="24"/>
          <w:szCs w:val="24"/>
        </w:rPr>
        <w:t xml:space="preserve">. </w:t>
      </w:r>
    </w:p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- Nei periodi in cui la popolazione servita non supera di quattro volte quella residente servita si applicano le norme di cui alla Tabella E; </w:t>
      </w:r>
    </w:p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- Negli altri periodi dell'anno, fermo restando il rispetto delle norme di cui alla Tabella E per la portata sottoposta al trattamento biologico, è ammesso un trattamento parziale della portata eccedente. </w:t>
      </w:r>
    </w:p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- Quando il rapporto tra la portata del ricettore e la portata eccedente supera le 30 volte, il trattamento parziale potrà limitarsi alla semplice decantazione; la portata eccedente è allora soggetta ai limiti di cui alla Tabella D. In caso contrario è richiesto il trattamento chimico-fisico delle punte, con il rispetto dei limiti seguenti (sempre relativi alla sola portata eccedente quella trattata per via biologica):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395"/>
      </w:tblGrid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Solidi grossolani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assenti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Solidi sedimentabili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0,5 ml/1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Solidi sospesi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80 ml/1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BOD 5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150 mg/1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COD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300 mg/1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Azoto ammoniacale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40 mg NH4/1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Azoto Nitrico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30 mg N/1</w:t>
            </w:r>
          </w:p>
        </w:tc>
      </w:tr>
      <w:tr w:rsidR="00B40317" w:rsidRPr="00B40317" w:rsidTr="00B40317">
        <w:trPr>
          <w:tblCellSpacing w:w="15" w:type="dxa"/>
        </w:trPr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- Fosforo</w:t>
            </w:r>
          </w:p>
        </w:tc>
        <w:tc>
          <w:tcPr>
            <w:tcW w:w="0" w:type="auto"/>
            <w:hideMark/>
          </w:tcPr>
          <w:p w:rsidR="00B40317" w:rsidRPr="00B40317" w:rsidRDefault="00B40317" w:rsidP="00B403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40317">
              <w:rPr>
                <w:rFonts w:ascii="Times New Roman" w:hAnsi="Times New Roman"/>
                <w:sz w:val="24"/>
                <w:szCs w:val="24"/>
              </w:rPr>
              <w:t>10 mg P/1</w:t>
            </w:r>
          </w:p>
        </w:tc>
      </w:tr>
    </w:tbl>
    <w:p w:rsidR="00B40317" w:rsidRPr="00B40317" w:rsidRDefault="00B40317" w:rsidP="00B4031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B40317">
        <w:rPr>
          <w:rFonts w:ascii="Times New Roman" w:hAnsi="Times New Roman"/>
          <w:sz w:val="24"/>
          <w:szCs w:val="24"/>
        </w:rPr>
        <w:t xml:space="preserve">È obbligo che i progetti degli impianti siano studiati in modo da consentire in futuro il trattamento biologico dell'intera portata. 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17"/>
    <w:rsid w:val="000F62FF"/>
    <w:rsid w:val="0099799A"/>
    <w:rsid w:val="00B40317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312F8-7C5B-4DC3-9366-CF82CF86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2024-02-19T13:32:00Z</dcterms:created>
  <dcterms:modified xsi:type="dcterms:W3CDTF">2024-02-19T13:32:00Z</dcterms:modified>
</cp:coreProperties>
</file>