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91E" w:rsidRPr="009D191E" w:rsidRDefault="009D191E" w:rsidP="009D191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D191E">
        <w:rPr>
          <w:rFonts w:ascii="Times New Roman" w:hAnsi="Times New Roman"/>
          <w:sz w:val="24"/>
          <w:szCs w:val="24"/>
        </w:rPr>
        <w:t xml:space="preserve">Tabella F </w:t>
      </w:r>
    </w:p>
    <w:p w:rsidR="009D191E" w:rsidRPr="009D191E" w:rsidRDefault="009D191E" w:rsidP="009D191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D191E">
        <w:rPr>
          <w:rFonts w:ascii="Times New Roman" w:hAnsi="Times New Roman"/>
          <w:sz w:val="24"/>
          <w:szCs w:val="24"/>
        </w:rPr>
        <w:t xml:space="preserve">Impianti con trattamento biologico dell'intera portata (medi e grandi impianti) </w:t>
      </w:r>
    </w:p>
    <w:p w:rsidR="009D191E" w:rsidRPr="009D191E" w:rsidRDefault="009D191E" w:rsidP="009D191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D191E">
        <w:rPr>
          <w:rFonts w:ascii="Times New Roman" w:hAnsi="Times New Roman"/>
          <w:sz w:val="24"/>
          <w:szCs w:val="24"/>
        </w:rPr>
        <w:t xml:space="preserve">Si applicano nei centri con popolazione servita superiore ai 2.000 abitanti ubicati a quota inferiore ai 700 m </w:t>
      </w:r>
      <w:proofErr w:type="spellStart"/>
      <w:r w:rsidRPr="009D191E">
        <w:rPr>
          <w:rFonts w:ascii="Times New Roman" w:hAnsi="Times New Roman"/>
          <w:sz w:val="24"/>
          <w:szCs w:val="24"/>
        </w:rPr>
        <w:t>slm</w:t>
      </w:r>
      <w:proofErr w:type="spellEnd"/>
      <w:r w:rsidRPr="009D191E">
        <w:rPr>
          <w:rFonts w:ascii="Times New Roman" w:hAnsi="Times New Roman"/>
          <w:sz w:val="24"/>
          <w:szCs w:val="24"/>
        </w:rPr>
        <w:t xml:space="preserve">. </w:t>
      </w:r>
      <w:bookmarkStart w:id="0" w:name="espon_21"/>
      <w:r>
        <w:rPr>
          <w:rFonts w:ascii="Times New Roman" w:hAnsi="Times New Roman"/>
          <w:sz w:val="24"/>
          <w:szCs w:val="24"/>
        </w:rPr>
        <w:t>(</w:t>
      </w:r>
      <w:hyperlink r:id="rId4" w:anchor="nota_21" w:history="1">
        <w:r w:rsidRPr="009D191E">
          <w:rPr>
            <w:rFonts w:ascii="Times New Roman" w:hAnsi="Times New Roman"/>
            <w:color w:val="0000FF"/>
            <w:sz w:val="24"/>
            <w:szCs w:val="24"/>
            <w:u w:val="single"/>
          </w:rPr>
          <w:t>24</w:t>
        </w:r>
      </w:hyperlink>
      <w:bookmarkEnd w:id="0"/>
      <w:r>
        <w:rPr>
          <w:rFonts w:ascii="Times New Roman" w:hAnsi="Times New Roman"/>
          <w:sz w:val="24"/>
          <w:szCs w:val="24"/>
        </w:rPr>
        <w:t>)</w:t>
      </w:r>
      <w:r w:rsidRPr="009D191E">
        <w:rPr>
          <w:rFonts w:ascii="Times New Roman" w:hAnsi="Times New Roman"/>
          <w:sz w:val="24"/>
          <w:szCs w:val="24"/>
        </w:rPr>
        <w:t xml:space="preserve"> </w:t>
      </w:r>
    </w:p>
    <w:p w:rsidR="009D191E" w:rsidRPr="009D191E" w:rsidRDefault="009D191E" w:rsidP="009D191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D191E">
        <w:rPr>
          <w:rFonts w:ascii="Times New Roman" w:hAnsi="Times New Roman"/>
          <w:sz w:val="24"/>
          <w:szCs w:val="24"/>
        </w:rPr>
        <w:t xml:space="preserve">Valgono i limiti della tabella A della </w:t>
      </w:r>
      <w:hyperlink r:id="rId5" w:history="1">
        <w:r w:rsidRPr="009D191E">
          <w:rPr>
            <w:rFonts w:ascii="Times New Roman" w:hAnsi="Times New Roman"/>
            <w:color w:val="0000FF"/>
            <w:sz w:val="24"/>
            <w:szCs w:val="24"/>
            <w:u w:val="single"/>
          </w:rPr>
          <w:t>legge n. 319/1976</w:t>
        </w:r>
      </w:hyperlink>
      <w:r w:rsidRPr="009D191E">
        <w:rPr>
          <w:rFonts w:ascii="Times New Roman" w:hAnsi="Times New Roman"/>
          <w:sz w:val="24"/>
          <w:szCs w:val="24"/>
        </w:rPr>
        <w:t xml:space="preserve"> (con successive modificazioni), con la eccezione dei parametri seguenti: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1395"/>
      </w:tblGrid>
      <w:tr w:rsidR="009D191E" w:rsidRPr="009D191E" w:rsidTr="009D191E">
        <w:trPr>
          <w:tblCellSpacing w:w="15" w:type="dxa"/>
        </w:trPr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- Azoto ammoniacale</w:t>
            </w:r>
          </w:p>
        </w:tc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40 mg NH4/1</w:t>
            </w:r>
          </w:p>
        </w:tc>
      </w:tr>
      <w:tr w:rsidR="009D191E" w:rsidRPr="009D191E" w:rsidTr="009D191E">
        <w:trPr>
          <w:tblCellSpacing w:w="15" w:type="dxa"/>
        </w:trPr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- Azoto nitrico</w:t>
            </w:r>
          </w:p>
        </w:tc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30 mg N/1</w:t>
            </w:r>
          </w:p>
        </w:tc>
      </w:tr>
      <w:tr w:rsidR="009D191E" w:rsidRPr="009D191E" w:rsidTr="009D191E">
        <w:trPr>
          <w:tblCellSpacing w:w="15" w:type="dxa"/>
        </w:trPr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- Fosforo</w:t>
            </w:r>
          </w:p>
        </w:tc>
        <w:tc>
          <w:tcPr>
            <w:tcW w:w="0" w:type="auto"/>
            <w:hideMark/>
          </w:tcPr>
          <w:p w:rsidR="009D191E" w:rsidRPr="009D191E" w:rsidRDefault="009D191E" w:rsidP="009D191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9D191E">
              <w:rPr>
                <w:rFonts w:ascii="Times New Roman" w:hAnsi="Times New Roman"/>
                <w:sz w:val="24"/>
                <w:szCs w:val="24"/>
              </w:rPr>
              <w:t>15 mg P/1</w:t>
            </w:r>
          </w:p>
        </w:tc>
      </w:tr>
    </w:tbl>
    <w:p w:rsidR="009D191E" w:rsidRPr="009D191E" w:rsidRDefault="009D191E" w:rsidP="009D191E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9D191E">
        <w:rPr>
          <w:rFonts w:ascii="Times New Roman" w:hAnsi="Times New Roman"/>
          <w:sz w:val="24"/>
          <w:szCs w:val="24"/>
        </w:rPr>
        <w:t xml:space="preserve">È obbligo che i progetti degli impianti siano studiati in modo da consentirne in futuro l'adeguamento per conseguire i limiti di tabella A anche per i tre parametri sopra ricordati. </w:t>
      </w:r>
    </w:p>
    <w:p w:rsidR="009D191E" w:rsidRPr="009D191E" w:rsidRDefault="009D191E" w:rsidP="009D191E">
      <w:pPr>
        <w:rPr>
          <w:rFonts w:ascii="Times New Roman" w:hAnsi="Times New Roman"/>
          <w:sz w:val="24"/>
          <w:szCs w:val="24"/>
        </w:rPr>
      </w:pPr>
      <w:bookmarkStart w:id="1" w:name="nota_21"/>
      <w:r>
        <w:rPr>
          <w:rFonts w:ascii="Times New Roman" w:hAnsi="Times New Roman"/>
          <w:sz w:val="24"/>
          <w:szCs w:val="24"/>
        </w:rPr>
        <w:t>(</w:t>
      </w:r>
      <w:hyperlink r:id="rId6" w:anchor="espon_21" w:history="1">
        <w:r w:rsidRPr="009D191E">
          <w:rPr>
            <w:rFonts w:ascii="Times New Roman" w:hAnsi="Times New Roman"/>
            <w:color w:val="0000FF"/>
            <w:sz w:val="24"/>
            <w:szCs w:val="24"/>
            <w:u w:val="single"/>
          </w:rPr>
          <w:t>24</w:t>
        </w:r>
      </w:hyperlink>
      <w:bookmarkEnd w:id="1"/>
      <w:r>
        <w:rPr>
          <w:rFonts w:ascii="Times New Roman" w:hAnsi="Times New Roman"/>
          <w:sz w:val="24"/>
          <w:szCs w:val="24"/>
        </w:rPr>
        <w:t xml:space="preserve">) </w:t>
      </w:r>
      <w:bookmarkStart w:id="2" w:name="_GoBack"/>
      <w:bookmarkEnd w:id="2"/>
      <w:r w:rsidRPr="009D191E">
        <w:rPr>
          <w:rFonts w:ascii="Times New Roman" w:hAnsi="Times New Roman"/>
          <w:sz w:val="24"/>
          <w:szCs w:val="24"/>
        </w:rPr>
        <w:t>Paragrafo così modificato dall’</w:t>
      </w:r>
      <w:hyperlink r:id="rId7" w:history="1">
        <w:r w:rsidRPr="009D191E">
          <w:rPr>
            <w:rFonts w:ascii="Times New Roman" w:hAnsi="Times New Roman"/>
            <w:color w:val="0000FF"/>
            <w:sz w:val="24"/>
            <w:szCs w:val="24"/>
            <w:u w:val="single"/>
          </w:rPr>
          <w:t>art. 2</w:t>
        </w:r>
      </w:hyperlink>
      <w:r w:rsidRPr="009D191E">
        <w:rPr>
          <w:rFonts w:ascii="Times New Roman" w:hAnsi="Times New Roman"/>
          <w:sz w:val="24"/>
          <w:szCs w:val="24"/>
        </w:rPr>
        <w:t>, comma 10, L.R. 31 ottobre  2023, n. 20, a decorrere dal 22 novembre 2023 (ai sensi di quanto stabilito  dall’art. 5, comma 1, della medesima legge).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1E"/>
    <w:rsid w:val="000F62FF"/>
    <w:rsid w:val="0099799A"/>
    <w:rsid w:val="009D191E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07EDC"/>
  <w15:chartTrackingRefBased/>
  <w15:docId w15:val="{65438F8E-BC3B-4DC8-9B36-D0AE7C75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elegale.wolterskluwer.it/normativa/10LX0000953086ART14?pathId=0f4ee915912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normativa/legge-regionale-24-08-1982-n-59-valle-d-aosta/10LX0000285129ART18?pathId=fb8bc8e80a5278" TargetMode="External"/><Relationship Id="rId5" Type="http://schemas.openxmlformats.org/officeDocument/2006/relationships/hyperlink" Target="https://onelegale.wolterskluwer.it/normativa/10LX0000110044SOMM?pathId=0f4ee9159122e" TargetMode="External"/><Relationship Id="rId4" Type="http://schemas.openxmlformats.org/officeDocument/2006/relationships/hyperlink" Target="https://onelegale.wolterskluwer.it/normativa/legge-regionale-24-08-1982-n-59-valle-d-aosta/10LX0000285129ART18?pathId=fb8bc8e80a52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2024-02-19T13:31:00Z</dcterms:created>
  <dcterms:modified xsi:type="dcterms:W3CDTF">2024-02-19T13:32:00Z</dcterms:modified>
</cp:coreProperties>
</file>