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Tabella C </w:t>
      </w:r>
      <w:bookmarkStart w:id="0" w:name="espon_23"/>
      <w:r>
        <w:rPr>
          <w:rFonts w:ascii="Times New Roman" w:hAnsi="Times New Roman"/>
          <w:sz w:val="24"/>
          <w:szCs w:val="24"/>
        </w:rPr>
        <w:t>(</w:t>
      </w:r>
      <w:hyperlink r:id="rId4" w:anchor="nota_23" w:history="1">
        <w:r w:rsidRPr="00A35580">
          <w:rPr>
            <w:rFonts w:ascii="Times New Roman" w:hAnsi="Times New Roman"/>
            <w:color w:val="0000FF"/>
            <w:sz w:val="24"/>
            <w:szCs w:val="24"/>
            <w:u w:val="single"/>
          </w:rPr>
          <w:t>21</w:t>
        </w:r>
      </w:hyperlink>
      <w:bookmarkEnd w:id="0"/>
      <w:r w:rsidRPr="00A355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20"/>
        <w:gridCol w:w="1840"/>
        <w:gridCol w:w="120"/>
        <w:gridCol w:w="4394"/>
      </w:tblGrid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Parametri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concentrazioni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Note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5,5-9,5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valore del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pH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 xml:space="preserve"> del recipiente deve essere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compreso tra 6,5 e 8,5 nel raggio di 50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metri dallo scarico.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Temperatura °C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Per i corsi d'acqua la variazione massima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tra le temperature medie di qualsiasi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sezione del corso d'acqua a monte e a valle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 punto di immissione dello scarico non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deve superare i 3°C. Su almeno metà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qualsiasi sezione a valle tale variazione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non deve superare 1°C.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Per i laghi la temperatura dello scarico non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deve superare i 30°C e l'incremento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temperatura del corpo recipiente non deve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in nessun caso superare i 3°C oltre i 50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metri di distanza dal punto di immissione.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Per i canali artificiali, il massimo valore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medio della temperatura dell'acqua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qualsiasi sezione del canale a valle del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punto di immissione dello scarico non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deve superare i 35°C. La condizione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suddetta è subordinata all'approvazione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dell'autorità preposta alla gestione del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canale.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Per il mare la temperatura dello scarico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non deve superare i 35°C e l'incremento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temperatura del corpo recipiente non deve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in nessun caso superare i 3°C oltre i 100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metri di distanza dal punto di immissione.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Colore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Non percettibile dopo diluizione 1:40 su uno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spessore di 10 centimetri.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Odore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Non deve essere causa di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incovenienti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 xml:space="preserve"> 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molestie di qualsiasi genere.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Materiali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Assenti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La voce «materiali grossolani» si riferisce ad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grossolani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oggetti di dimensione lineare superiore a 1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centimetro, qualsiasi sia la loro natura.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Materiali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 materiali sedimentabili sono misurati in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sedimentabili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cono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Imhoff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 xml:space="preserve"> dopo 2 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ml/1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Materiali in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Non più del 40%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Per «materiali in sospensione» totali,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 valore a monte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indipendentemente dalla loro natura,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totali 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dell'impianto di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devono essere intesi quelli aventi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depurazione [*]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dimensioni tali da non permetterne il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passaggio attraverso membrana filtrante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porosità 0,45 µ.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BOD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 xml:space="preserve"> 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Non più del 70%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 valore a monte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dell'impianto di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depurazione [**]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COD 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Non più del 70%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COD si intende determinato con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 valore a monte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bicromato di potassio alla ebollizione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dell'impianto di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dopo 2 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depurazione [***]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Metalli e non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(C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1/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L/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) + (C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2/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L/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) + (C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3/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L/</w:t>
            </w:r>
            <w:proofErr w:type="gramStart"/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)...</w:t>
            </w:r>
            <w:proofErr w:type="gramEnd"/>
            <w:r w:rsidRPr="00A35580">
              <w:rPr>
                <w:rFonts w:ascii="Times New Roman" w:hAnsi="Times New Roman"/>
                <w:sz w:val="24"/>
                <w:szCs w:val="24"/>
              </w:rPr>
              <w:t xml:space="preserve"> + (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C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/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L/</w:t>
            </w:r>
            <w:r w:rsidRPr="00A35580">
              <w:rPr>
                <w:rFonts w:ascii="Times New Roman" w:hAnsi="Times New Roman"/>
                <w:sz w:val="24"/>
                <w:szCs w:val="24"/>
                <w:vertAlign w:val="subscript"/>
              </w:rPr>
              <w:t>n</w:t>
            </w:r>
            <w:r w:rsidRPr="00A3558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metalli tossici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totali (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Cd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>-Cr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(VI)-Cu-Hg-Ni-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Pb-Se-Zn)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Alluminio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A1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Arsenico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mg/l come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Boro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B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Cadmio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mg/l come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Cromo III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Cr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Cromo VI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Cr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Ferro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Fe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 dopo sedimentazione di 2 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Manganese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Mn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 dopo sedimentazione di 2 ore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Mercurio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0,005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Hg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Nichel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Ni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Piombo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Pb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Rame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Cu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Selenio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Se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Zinco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riferito all'elemento in soluzione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Zn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come ione, sotto forma di complesso, ed in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sospensione.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Cianuri totali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mg/come CN-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Cloro attivo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CI2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Solfuri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H2S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Solfiti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SO3 =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Solfati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Non si applica agli scarichi in mare.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SO4 =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Cloruri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1.200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Non si applica agli scarichi in mare.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CI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Fluoruri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F-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Fosforo totale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è ridotto a 0,5 nel caso di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P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immissioni nei laghi, dirette o compresa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entro una fascia di 10 km dalla linea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costa.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Ammoniaca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(Si applica ai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nn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>. 33, 34 e 35).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Totale mg/l come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Per gli scarichi in laghi, diretti o indiretti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NH4 +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compresi entro una fascia di 10 km dalla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Azoto nitroso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linea di costa, l'azoto complessivo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N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(organico + ammoniacale + nitroso +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Azoto nitrico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nitrico) non deve superare i 10 mg N/1.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 come N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Grassi e oli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animali e vegetali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Oli minerali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Fenoli totali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mg/l come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C4H5OH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Aldeidi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mg/come H-CHO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Solventi organici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aromatici 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Solventi organici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azotati 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Solventi clorurati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Tensioattivi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Pesticidi clorurati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Pesticidi fosforati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Saggio di tossicità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campione diluito 1:1 con acqua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standard deve permettere, in condizioni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aerazione la sopravvivenza di almeno il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50% degli animali usati per il saggio, per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un periodo di 24 ore, alla temperatura di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20°C. La specie impiegata per il saggio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deve essere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Carassius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5580">
              <w:rPr>
                <w:rFonts w:ascii="Times New Roman" w:hAnsi="Times New Roman"/>
                <w:sz w:val="24"/>
                <w:szCs w:val="24"/>
              </w:rPr>
              <w:t>auratus</w:t>
            </w:r>
            <w:proofErr w:type="spellEnd"/>
            <w:r w:rsidRPr="00A355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Coliformi totali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20.000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MPN/100 ml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Parametri 47-48-49.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Coliformi fecali 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12.000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 xml:space="preserve">Il limite si applica quando a discrezione 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MPN/100 ml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della Autorità competente per il controllo,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Streptococchi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2.000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richiedono gli usi concomitanti del corpo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fecali MPN/100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idrico ricettore.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A35580" w:rsidRPr="00A35580" w:rsidTr="00A35580">
        <w:trPr>
          <w:tblCellSpacing w:w="15" w:type="dxa"/>
        </w:trPr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A35580" w:rsidRPr="00A35580" w:rsidRDefault="00A35580" w:rsidP="00A3558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A3558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Le determinazioni analitiche devono essere effettuate su un campione medio, prelevato in un intervallo di tempo minimo di 3 ore. </w:t>
      </w:r>
    </w:p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Le metodiche analitiche e di campionamento da impiegarsi nella determinazione dei parametri sono quelle descritte nei volumi «Metodi analitici per le acque» pubblicati dall'Istituto di Ricerca sulle Acque (CNR) Roma, e successivi aggiornamenti. </w:t>
      </w:r>
    </w:p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[*] Limite minimo imponibile: quello della tabella A; limite massimo: 200. </w:t>
      </w:r>
    </w:p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[**] Limite minimo imponibile: quello della tabella A; limite massimo: 250. </w:t>
      </w:r>
    </w:p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[***] Limite minimo imponibile: quello della tabella A; limite massimo: 500. </w:t>
      </w:r>
    </w:p>
    <w:p w:rsidR="00A35580" w:rsidRPr="00A35580" w:rsidRDefault="00A35580" w:rsidP="00A3558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A35580">
        <w:rPr>
          <w:rFonts w:ascii="Times New Roman" w:hAnsi="Times New Roman"/>
          <w:sz w:val="24"/>
          <w:szCs w:val="24"/>
        </w:rPr>
        <w:t xml:space="preserve">Fermo restando che il limite fissato per ogni singolo elemento non deve essere superato, la somma dei rapporti tra la concentrazione con cui ogni singolo elemento è presente e la relativa concentrazione limite non deve superare il valore di 3. </w:t>
      </w:r>
    </w:p>
    <w:p w:rsidR="00A35580" w:rsidRPr="00A35580" w:rsidRDefault="00A35580" w:rsidP="00A35580">
      <w:pPr>
        <w:rPr>
          <w:rFonts w:ascii="Times New Roman" w:hAnsi="Times New Roman"/>
          <w:sz w:val="24"/>
          <w:szCs w:val="24"/>
        </w:rPr>
      </w:pPr>
      <w:bookmarkStart w:id="1" w:name="nota_23"/>
      <w:r>
        <w:rPr>
          <w:rFonts w:ascii="Times New Roman" w:hAnsi="Times New Roman"/>
          <w:sz w:val="24"/>
          <w:szCs w:val="24"/>
        </w:rPr>
        <w:t>(</w:t>
      </w:r>
      <w:hyperlink r:id="rId5" w:anchor="espon_23" w:history="1">
        <w:r w:rsidRPr="00A35580">
          <w:rPr>
            <w:rFonts w:ascii="Times New Roman" w:hAnsi="Times New Roman"/>
            <w:color w:val="0000FF"/>
            <w:sz w:val="24"/>
            <w:szCs w:val="24"/>
            <w:u w:val="single"/>
          </w:rPr>
          <w:t>21</w:t>
        </w:r>
      </w:hyperlink>
      <w:bookmarkEnd w:id="1"/>
      <w:r>
        <w:rPr>
          <w:rFonts w:ascii="Times New Roman" w:hAnsi="Times New Roman"/>
          <w:sz w:val="24"/>
          <w:szCs w:val="24"/>
        </w:rPr>
        <w:t xml:space="preserve">) </w:t>
      </w:r>
      <w:bookmarkStart w:id="2" w:name="_GoBack"/>
      <w:bookmarkEnd w:id="2"/>
      <w:r w:rsidRPr="00A35580">
        <w:rPr>
          <w:rFonts w:ascii="Times New Roman" w:hAnsi="Times New Roman"/>
          <w:sz w:val="24"/>
          <w:szCs w:val="24"/>
        </w:rPr>
        <w:t>Tabella abrogata dall’</w:t>
      </w:r>
      <w:hyperlink r:id="rId6" w:history="1">
        <w:r w:rsidRPr="00A35580">
          <w:rPr>
            <w:rFonts w:ascii="Times New Roman" w:hAnsi="Times New Roman"/>
            <w:color w:val="0000FF"/>
            <w:sz w:val="24"/>
            <w:szCs w:val="24"/>
            <w:u w:val="single"/>
          </w:rPr>
          <w:t>art. 2</w:t>
        </w:r>
      </w:hyperlink>
      <w:r w:rsidRPr="00A35580">
        <w:rPr>
          <w:rFonts w:ascii="Times New Roman" w:hAnsi="Times New Roman"/>
          <w:sz w:val="24"/>
          <w:szCs w:val="24"/>
        </w:rPr>
        <w:t xml:space="preserve">, comma 11, L.R. 31 ottobre 2023, n.  20, a decorrere dal 22 novembre 2023 (ai sensi di quanto stabilito dall’art. 5,  comma 1, della medesima legge) e contestualmente sostituita dalla tabella  allegata alla parte terza del </w:t>
      </w:r>
      <w:hyperlink r:id="rId7" w:history="1">
        <w:proofErr w:type="spellStart"/>
        <w:r w:rsidRPr="00A35580">
          <w:rPr>
            <w:rFonts w:ascii="Times New Roman" w:hAnsi="Times New Roman"/>
            <w:color w:val="0000FF"/>
            <w:sz w:val="24"/>
            <w:szCs w:val="24"/>
            <w:u w:val="single"/>
          </w:rPr>
          <w:t>D.Lgs.</w:t>
        </w:r>
        <w:proofErr w:type="spellEnd"/>
        <w:r w:rsidRPr="00A35580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 n. 152/2006</w:t>
        </w:r>
      </w:hyperlink>
      <w:r w:rsidRPr="00A35580">
        <w:rPr>
          <w:rFonts w:ascii="Times New Roman" w:hAnsi="Times New Roman"/>
          <w:sz w:val="24"/>
          <w:szCs w:val="24"/>
        </w:rPr>
        <w:t>.</w:t>
      </w: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80"/>
    <w:rsid w:val="000F62FF"/>
    <w:rsid w:val="0099799A"/>
    <w:rsid w:val="00A35580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D3DC5"/>
  <w15:chartTrackingRefBased/>
  <w15:docId w15:val="{2A34E805-D19D-4336-8358-5D74211B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A35580"/>
  </w:style>
  <w:style w:type="paragraph" w:customStyle="1" w:styleId="msonormal0">
    <w:name w:val="msonormal"/>
    <w:basedOn w:val="Normale"/>
    <w:rsid w:val="00A3558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kit-align-right">
    <w:name w:val="wkit-align-right"/>
    <w:basedOn w:val="Normale"/>
    <w:rsid w:val="00A3558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kit-note-ref">
    <w:name w:val="wkit-note-ref"/>
    <w:basedOn w:val="Carpredefinitoparagrafo"/>
    <w:rsid w:val="00A35580"/>
  </w:style>
  <w:style w:type="character" w:customStyle="1" w:styleId="wk-tooltip-wrapper">
    <w:name w:val="wk-tooltip-wrapper"/>
    <w:basedOn w:val="Carpredefinitoparagrafo"/>
    <w:rsid w:val="00A35580"/>
  </w:style>
  <w:style w:type="character" w:styleId="Collegamentoipertestuale">
    <w:name w:val="Hyperlink"/>
    <w:basedOn w:val="Carpredefinitoparagrafo"/>
    <w:uiPriority w:val="99"/>
    <w:semiHidden/>
    <w:unhideWhenUsed/>
    <w:rsid w:val="00A3558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35580"/>
    <w:rPr>
      <w:color w:val="800080"/>
      <w:u w:val="single"/>
    </w:rPr>
  </w:style>
  <w:style w:type="character" w:customStyle="1" w:styleId="wk-tooltip">
    <w:name w:val="wk-tooltip"/>
    <w:basedOn w:val="Carpredefinitoparagrafo"/>
    <w:rsid w:val="00A35580"/>
  </w:style>
  <w:style w:type="character" w:customStyle="1" w:styleId="wk-tooltip-body">
    <w:name w:val="wk-tooltip-body"/>
    <w:basedOn w:val="Carpredefinitoparagrafo"/>
    <w:rsid w:val="00A35580"/>
  </w:style>
  <w:style w:type="paragraph" w:customStyle="1" w:styleId="wkit-indentation-level-0">
    <w:name w:val="wkit-indentation-level-0"/>
    <w:basedOn w:val="Normale"/>
    <w:rsid w:val="00A3558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kit-footnote-link">
    <w:name w:val="wkit-footnote-link"/>
    <w:basedOn w:val="Carpredefinitoparagrafo"/>
    <w:rsid w:val="00A35580"/>
  </w:style>
  <w:style w:type="character" w:customStyle="1" w:styleId="document-link-preview">
    <w:name w:val="document-link-preview"/>
    <w:basedOn w:val="Carpredefinitoparagrafo"/>
    <w:rsid w:val="00A3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7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4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elegale.wolterskluwer.it/normativa/10LX0000401022SOMM?pathId=9f6e803a72a1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legale.wolterskluwer.it/normativa/10LX0000953086ART14?pathId=9f6e803a72a148" TargetMode="External"/><Relationship Id="rId5" Type="http://schemas.openxmlformats.org/officeDocument/2006/relationships/hyperlink" Target="https://onelegale.wolterskluwer.it/normativa/legge-regionale-24-08-1982-n-59-valle-d-aosta/10LX0000285129ART15?pathId=9efe6e5792209" TargetMode="External"/><Relationship Id="rId4" Type="http://schemas.openxmlformats.org/officeDocument/2006/relationships/hyperlink" Target="https://onelegale.wolterskluwer.it/normativa/legge-regionale-24-08-1982-n-59-valle-d-aosta/10LX0000285129ART15?pathId=9efe6e57922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1</cp:revision>
  <dcterms:created xsi:type="dcterms:W3CDTF">2024-02-19T13:28:00Z</dcterms:created>
  <dcterms:modified xsi:type="dcterms:W3CDTF">2024-02-19T13:29:00Z</dcterms:modified>
</cp:coreProperties>
</file>