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8F7" w:rsidRPr="007758F7" w:rsidRDefault="007758F7" w:rsidP="007758F7">
      <w:pPr>
        <w:spacing w:beforeAutospacing="1" w:afterAutospacing="1"/>
        <w:rPr>
          <w:rFonts w:ascii="Times New Roman" w:hAnsi="Times New Roman"/>
          <w:sz w:val="24"/>
          <w:szCs w:val="24"/>
        </w:rPr>
      </w:pPr>
      <w:r w:rsidRPr="007758F7">
        <w:rPr>
          <w:rFonts w:ascii="Times New Roman" w:hAnsi="Times New Roman"/>
          <w:sz w:val="24"/>
          <w:szCs w:val="24"/>
        </w:rPr>
        <w:t xml:space="preserve">Tabella A </w:t>
      </w:r>
      <w:bookmarkStart w:id="0" w:name="espon_22"/>
      <w:r>
        <w:rPr>
          <w:rFonts w:ascii="Times New Roman" w:hAnsi="Times New Roman"/>
          <w:sz w:val="24"/>
          <w:szCs w:val="24"/>
        </w:rPr>
        <w:t>(</w:t>
      </w:r>
      <w:hyperlink r:id="rId4" w:anchor="nota_22" w:history="1">
        <w:r w:rsidRPr="007758F7">
          <w:rPr>
            <w:rFonts w:ascii="Times New Roman" w:hAnsi="Times New Roman"/>
            <w:color w:val="0000FF"/>
            <w:sz w:val="24"/>
            <w:szCs w:val="24"/>
            <w:u w:val="single"/>
          </w:rPr>
          <w:t>20</w:t>
        </w:r>
      </w:hyperlink>
      <w:bookmarkEnd w:id="0"/>
      <w:r>
        <w:rPr>
          <w:rFonts w:ascii="Times New Roman" w:hAnsi="Times New Roman"/>
          <w:sz w:val="24"/>
          <w:szCs w:val="24"/>
        </w:rPr>
        <w:t>)</w:t>
      </w:r>
      <w:r w:rsidRPr="007758F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293"/>
        <w:gridCol w:w="1527"/>
        <w:gridCol w:w="120"/>
        <w:gridCol w:w="4581"/>
      </w:tblGrid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Parametri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Concentrazioni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5,5-9,5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valore del 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7758F7">
              <w:rPr>
                <w:rFonts w:ascii="Times New Roman" w:hAnsi="Times New Roman"/>
                <w:sz w:val="24"/>
                <w:szCs w:val="24"/>
              </w:rPr>
              <w:t xml:space="preserve"> del recipiente deve essere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compreso tra 6,5 e 8,5 nel raggio di 50 metri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dallo scarico.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Temperatura °C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i corsi d'acqua la variazione massima tra le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temperature medie di qualsiasi sezione del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corso d'acqua a monte e a valle del punto di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immissione dello scarico non deve superare 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3°C. Su almeno metà di qualsiasi sezione 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valle tale variazione non deve superare 1°C.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i laghi la temperatura dello scarico non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deve superare i 30°C e l'incremento di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temperatura del corpo recipiente non deve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nessun caso superare i 3°C oltre i 50 metri di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distanza dal punto di immissione.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i canali artificiali, il massimo valore medio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della temperatura dell'acqua di qualsiasi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sezione del canale a valle del punto di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immissione dello scarico non deve superare 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35°C. La condizione suddetta è subordinata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all'approvazione dell'autorità preposta alla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gestione del canale.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il mare la temperatura dello scarico non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deve superare i 35°C e l'incremento di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temperatura del corpo recipiente non deve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nessun caso superare i 3°C oltre i 1.000 metri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di distanza dal punto di immissione. Deve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inoltre essere evitata la formazione di barriere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termiche alla foce dei fiumi.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Colore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Non percettibile dopo diluizione 1:20 su uno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spessore di 10 centimetri.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Odore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Non deve essere causa di inconvenienti 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molestie di qualsiasi genere.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Materiali grossolani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Assenti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La voce «materiali grossolani» si riferisce ad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oggetti di dimensione lineare superiore a 1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centimetro, qualsiasi sia la loro natura.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Materiali sedimentabili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 materiali sedimentabili sono misurati in cono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ml/1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Imhoff</w:t>
            </w:r>
            <w:proofErr w:type="spellEnd"/>
            <w:r w:rsidRPr="007758F7">
              <w:rPr>
                <w:rFonts w:ascii="Times New Roman" w:hAnsi="Times New Roman"/>
                <w:sz w:val="24"/>
                <w:szCs w:val="24"/>
              </w:rPr>
              <w:t xml:space="preserve"> dopo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Materiali in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«materiali in sospensione» totali,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totali 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indipendentemente dalla loro natura, devono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essere intesi quelli aventi dimensioni tali da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non permetterne il passaggio attraverso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membrana filtrante di porosità 0,45µ.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BOD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 xml:space="preserve"> 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gli scarichi industriali le cui caratteristiche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di ossidabilità siano diverse da quelle dei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liquami domestici la concentrazione limite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deve essere riferita ad almeno il 70 per cento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del BOD totale.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COD 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COD si intende determinato con bicromato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di potassio alla ebollizione dopo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Metalli e non metalli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(C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1/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L/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) + (C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2/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L/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) + (C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3/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L/</w:t>
            </w:r>
            <w:proofErr w:type="gramStart"/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)...</w:t>
            </w:r>
            <w:proofErr w:type="gramEnd"/>
            <w:r w:rsidRPr="007758F7">
              <w:rPr>
                <w:rFonts w:ascii="Times New Roman" w:hAnsi="Times New Roman"/>
                <w:sz w:val="24"/>
                <w:szCs w:val="24"/>
              </w:rPr>
              <w:t xml:space="preserve"> + (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C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/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L/</w:t>
            </w:r>
            <w:r w:rsidRPr="007758F7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7758F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tossici totali (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As-Cd</w:t>
            </w:r>
            <w:proofErr w:type="spellEnd"/>
            <w:r w:rsidRPr="007758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Cr (VI) Cu-Hg-Ni-Pb-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Se-Zn)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Fermo restando che il limite fissato per ogni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singolo elemento non deve essere superato, la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somma dei rapporti tra la concentrazione con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cui ogni singolo elemento è presente e la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relativa concentrazione limite non deve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superare il valore di 3.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agli elementi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ioni, sotto forma di complessi, e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Alluminio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A1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Arsenico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mg/l come 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Bario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mg/l come 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Ba</w:t>
            </w:r>
            <w:proofErr w:type="spellEnd"/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Boro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B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Cadmio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mg/l come 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Cromo III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Cr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Cromo VI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mg/come Cr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Ferro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Fe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Manganese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Mn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Mercurio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Hg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Nichel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Ni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Piombo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Pb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Rame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Cu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Selenio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Se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Stagno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Sn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Zinco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Zn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Cianuri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CN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Cloro attivo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CI2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Solfuri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H2S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Solfiti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SO3 =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Solfati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Non si applica agli scarichi in mare.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SO4 =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Cloruri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Non si applica agli scarichi in mare.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Cl-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Fluoruri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F-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Fosforo totale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Il limite è ridotto a 0,5 nel caso di immissioni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P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nei laghi, dirette o comprese entro una fascia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di 10 Km dalla linea di costa.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Ammoniaca totale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(Si applica ai </w:t>
            </w:r>
            <w:proofErr w:type="spellStart"/>
            <w:r w:rsidRPr="007758F7"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  <w:r w:rsidRPr="007758F7">
              <w:rPr>
                <w:rFonts w:ascii="Times New Roman" w:hAnsi="Times New Roman"/>
                <w:sz w:val="24"/>
                <w:szCs w:val="24"/>
              </w:rPr>
              <w:t>. 35, 36 e 37).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NH4 +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Per gli scarichi in laghi, diretti e indiretti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Azoto nitroso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compresi entro una fascia di 10 km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N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dalla linea di costa, d'azoto complessivo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Azoto nitrico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(organico + ammoniacale + nitroso +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N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nitrico) non deve superare i 10 mg N/l.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Grassi e oli animali e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vegetali 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Oli minerali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Fenoli totali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H-CHO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Aldeidi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 come C6H5OH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Solventi organici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aromatici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Solventi organici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azotati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Solventi clorurati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Tensioattivi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Pesticidi clorurati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Pesticidi fosforati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Saggio di tossicità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Il campione diluito 1:1 con acqua standard 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deve permettere, in condizioni di aerazione, la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sopravvivenza di almeno il 50% degli animali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usati per il saggio, per un periodo di 24 ore,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alla temperatura di 15°C. La specie impiegata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per il saggio deve essere Salmo giardinieri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Rich.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Coliformi totali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MPN/100 ml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Coliformi fecali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MPN/100 ml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 xml:space="preserve">Streptococchi fecali 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MPN/100 ml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Parametri 49-50-51.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Il limite si applica quanto, a discrezione della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Autorità competente per il controllo, lo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richiedono gli usi concomitanti del corpo</w:t>
            </w:r>
          </w:p>
        </w:tc>
      </w:tr>
      <w:tr w:rsidR="007758F7" w:rsidRPr="007758F7" w:rsidTr="007758F7">
        <w:trPr>
          <w:tblCellSpacing w:w="15" w:type="dxa"/>
        </w:trPr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7758F7" w:rsidRPr="007758F7" w:rsidRDefault="007758F7" w:rsidP="007758F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758F7">
              <w:rPr>
                <w:rFonts w:ascii="Times New Roman" w:hAnsi="Times New Roman"/>
                <w:sz w:val="24"/>
                <w:szCs w:val="24"/>
              </w:rPr>
              <w:t>idrico ricettore.</w:t>
            </w:r>
          </w:p>
        </w:tc>
      </w:tr>
    </w:tbl>
    <w:p w:rsidR="007758F7" w:rsidRPr="007758F7" w:rsidRDefault="007758F7" w:rsidP="007758F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58F7">
        <w:rPr>
          <w:rFonts w:ascii="Times New Roman" w:hAnsi="Times New Roman"/>
          <w:sz w:val="24"/>
          <w:szCs w:val="24"/>
        </w:rPr>
        <w:t xml:space="preserve">Le determinazioni analitiche devono essere effettuate su un campione, medio, prelevato in un intervallo di tempo minimo di 3 ore. </w:t>
      </w:r>
    </w:p>
    <w:p w:rsidR="007758F7" w:rsidRPr="007758F7" w:rsidRDefault="007758F7" w:rsidP="007758F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758F7">
        <w:rPr>
          <w:rFonts w:ascii="Times New Roman" w:hAnsi="Times New Roman"/>
          <w:sz w:val="24"/>
          <w:szCs w:val="24"/>
        </w:rPr>
        <w:t xml:space="preserve">Le metodiche analitiche e di campionamento da impiegarsi nella determinazione dei parametri sono quelle descritte nei volumi «Metodi analitici per le acque» pubblicati dall'Istituto di Ricerca sulle Acque (CNR) Roma, e successivi aggiornamenti. </w:t>
      </w:r>
    </w:p>
    <w:p w:rsidR="007758F7" w:rsidRPr="007758F7" w:rsidRDefault="00CD560E" w:rsidP="007758F7">
      <w:pPr>
        <w:rPr>
          <w:rFonts w:ascii="Times New Roman" w:hAnsi="Times New Roman"/>
          <w:sz w:val="24"/>
          <w:szCs w:val="24"/>
        </w:rPr>
      </w:pPr>
      <w:bookmarkStart w:id="1" w:name="nota_22"/>
      <w:r>
        <w:rPr>
          <w:rFonts w:ascii="Times New Roman" w:hAnsi="Times New Roman"/>
          <w:sz w:val="24"/>
          <w:szCs w:val="24"/>
        </w:rPr>
        <w:t>(</w:t>
      </w:r>
      <w:hyperlink r:id="rId5" w:anchor="espon_22" w:history="1">
        <w:r w:rsidR="007758F7" w:rsidRPr="007758F7">
          <w:rPr>
            <w:rFonts w:ascii="Times New Roman" w:hAnsi="Times New Roman"/>
            <w:color w:val="0000FF"/>
            <w:sz w:val="24"/>
            <w:szCs w:val="24"/>
            <w:u w:val="single"/>
          </w:rPr>
          <w:t>20</w:t>
        </w:r>
      </w:hyperlink>
      <w:bookmarkEnd w:id="1"/>
      <w:r>
        <w:rPr>
          <w:rFonts w:ascii="Times New Roman" w:hAnsi="Times New Roman"/>
          <w:sz w:val="24"/>
          <w:szCs w:val="24"/>
        </w:rPr>
        <w:t xml:space="preserve">) </w:t>
      </w:r>
      <w:bookmarkStart w:id="2" w:name="_GoBack"/>
      <w:bookmarkEnd w:id="2"/>
      <w:r w:rsidR="007758F7" w:rsidRPr="007758F7">
        <w:rPr>
          <w:rFonts w:ascii="Times New Roman" w:hAnsi="Times New Roman"/>
          <w:sz w:val="24"/>
          <w:szCs w:val="24"/>
        </w:rPr>
        <w:t>Tabella abrogata dall’</w:t>
      </w:r>
      <w:hyperlink r:id="rId6" w:history="1">
        <w:r w:rsidR="007758F7" w:rsidRPr="007758F7">
          <w:rPr>
            <w:rFonts w:ascii="Times New Roman" w:hAnsi="Times New Roman"/>
            <w:color w:val="0000FF"/>
            <w:sz w:val="24"/>
            <w:szCs w:val="24"/>
            <w:u w:val="single"/>
          </w:rPr>
          <w:t>art. 2</w:t>
        </w:r>
      </w:hyperlink>
      <w:r w:rsidR="007758F7" w:rsidRPr="007758F7">
        <w:rPr>
          <w:rFonts w:ascii="Times New Roman" w:hAnsi="Times New Roman"/>
          <w:sz w:val="24"/>
          <w:szCs w:val="24"/>
        </w:rPr>
        <w:t xml:space="preserve">, comma 11, L.R. 31 ottobre 2023, n.  20, a decorrere dal 22 novembre 2023 (ai sensi di quanto stabilito dall’art. 5,  comma 1, della medesima legge) e contestualmente sostituita dalla tabella  allegata alla parte terza del </w:t>
      </w:r>
      <w:hyperlink r:id="rId7" w:history="1">
        <w:proofErr w:type="spellStart"/>
        <w:r w:rsidR="007758F7" w:rsidRPr="007758F7">
          <w:rPr>
            <w:rFonts w:ascii="Times New Roman" w:hAnsi="Times New Roman"/>
            <w:color w:val="0000FF"/>
            <w:sz w:val="24"/>
            <w:szCs w:val="24"/>
            <w:u w:val="single"/>
          </w:rPr>
          <w:t>D.Lgs.</w:t>
        </w:r>
        <w:proofErr w:type="spellEnd"/>
        <w:r w:rsidR="007758F7" w:rsidRPr="007758F7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n. 152/2006</w:t>
        </w:r>
      </w:hyperlink>
      <w:r w:rsidR="007758F7" w:rsidRPr="007758F7">
        <w:rPr>
          <w:rFonts w:ascii="Times New Roman" w:hAnsi="Times New Roman"/>
          <w:sz w:val="24"/>
          <w:szCs w:val="24"/>
        </w:rPr>
        <w:t>.</w:t>
      </w: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F7"/>
    <w:rsid w:val="000F62FF"/>
    <w:rsid w:val="007758F7"/>
    <w:rsid w:val="0099799A"/>
    <w:rsid w:val="00C47A9F"/>
    <w:rsid w:val="00C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8221C"/>
  <w15:chartTrackingRefBased/>
  <w15:docId w15:val="{A7556391-E56B-4A87-BB2B-F8666F0A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7758F7"/>
  </w:style>
  <w:style w:type="paragraph" w:customStyle="1" w:styleId="msonormal0">
    <w:name w:val="msonormal"/>
    <w:basedOn w:val="Normale"/>
    <w:rsid w:val="00775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kit-align-right">
    <w:name w:val="wkit-align-right"/>
    <w:basedOn w:val="Normale"/>
    <w:rsid w:val="00775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kit-note-ref">
    <w:name w:val="wkit-note-ref"/>
    <w:basedOn w:val="Carpredefinitoparagrafo"/>
    <w:rsid w:val="007758F7"/>
  </w:style>
  <w:style w:type="character" w:customStyle="1" w:styleId="wk-tooltip-wrapper">
    <w:name w:val="wk-tooltip-wrapper"/>
    <w:basedOn w:val="Carpredefinitoparagrafo"/>
    <w:rsid w:val="007758F7"/>
  </w:style>
  <w:style w:type="character" w:styleId="Collegamentoipertestuale">
    <w:name w:val="Hyperlink"/>
    <w:basedOn w:val="Carpredefinitoparagrafo"/>
    <w:uiPriority w:val="99"/>
    <w:semiHidden/>
    <w:unhideWhenUsed/>
    <w:rsid w:val="007758F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58F7"/>
    <w:rPr>
      <w:color w:val="800080"/>
      <w:u w:val="single"/>
    </w:rPr>
  </w:style>
  <w:style w:type="character" w:customStyle="1" w:styleId="wk-tooltip">
    <w:name w:val="wk-tooltip"/>
    <w:basedOn w:val="Carpredefinitoparagrafo"/>
    <w:rsid w:val="007758F7"/>
  </w:style>
  <w:style w:type="character" w:customStyle="1" w:styleId="wk-tooltip-body">
    <w:name w:val="wk-tooltip-body"/>
    <w:basedOn w:val="Carpredefinitoparagrafo"/>
    <w:rsid w:val="007758F7"/>
  </w:style>
  <w:style w:type="paragraph" w:customStyle="1" w:styleId="wkit-indentation-level-0">
    <w:name w:val="wkit-indentation-level-0"/>
    <w:basedOn w:val="Normale"/>
    <w:rsid w:val="007758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kit-footnote-link">
    <w:name w:val="wkit-footnote-link"/>
    <w:basedOn w:val="Carpredefinitoparagrafo"/>
    <w:rsid w:val="007758F7"/>
  </w:style>
  <w:style w:type="character" w:customStyle="1" w:styleId="document-link-preview">
    <w:name w:val="document-link-preview"/>
    <w:basedOn w:val="Carpredefinitoparagrafo"/>
    <w:rsid w:val="00775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5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elegale.wolterskluwer.it/normativa/10LX0000401022SOMM?pathId=ac26481b36ea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legale.wolterskluwer.it/normativa/10LX0000953086ART14?pathId=ac26481b36ea2" TargetMode="External"/><Relationship Id="rId5" Type="http://schemas.openxmlformats.org/officeDocument/2006/relationships/hyperlink" Target="https://onelegale.wolterskluwer.it/normativa/legge-regionale-24-08-1982-n-59-valle-d-aosta/10LX0000285129ART14?pathId=223f5ae5a50e6" TargetMode="External"/><Relationship Id="rId4" Type="http://schemas.openxmlformats.org/officeDocument/2006/relationships/hyperlink" Target="https://onelegale.wolterskluwer.it/normativa/legge-regionale-24-08-1982-n-59-valle-d-aosta/10LX0000285129ART14?pathId=223f5ae5a50e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1230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2</cp:revision>
  <dcterms:created xsi:type="dcterms:W3CDTF">2024-02-19T13:24:00Z</dcterms:created>
  <dcterms:modified xsi:type="dcterms:W3CDTF">2024-02-19T13:36:00Z</dcterms:modified>
</cp:coreProperties>
</file>