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EDB" w:rsidRPr="000D7088" w:rsidRDefault="00774EDB" w:rsidP="00774EDB">
      <w:pPr>
        <w:ind w:right="-143"/>
        <w:jc w:val="center"/>
        <w:rPr>
          <w:rFonts w:ascii="Times New Roman" w:hAnsi="Times New Roman"/>
          <w:sz w:val="24"/>
          <w:szCs w:val="24"/>
          <w:lang w:val="fr-FR"/>
        </w:rPr>
      </w:pPr>
      <w:bookmarkStart w:id="0" w:name="_GoBack"/>
      <w:bookmarkEnd w:id="0"/>
      <w:r w:rsidRPr="000D7088">
        <w:rPr>
          <w:rFonts w:ascii="Times New Roman" w:hAnsi="Times New Roman"/>
          <w:sz w:val="24"/>
          <w:szCs w:val="24"/>
          <w:lang w:val="fr-FR"/>
        </w:rPr>
        <w:t>A</w:t>
      </w:r>
      <w:r w:rsidR="00826561" w:rsidRPr="000D7088">
        <w:rPr>
          <w:rFonts w:ascii="Times New Roman" w:hAnsi="Times New Roman"/>
          <w:sz w:val="24"/>
          <w:szCs w:val="24"/>
          <w:lang w:val="fr-FR"/>
        </w:rPr>
        <w:t>NNEXE</w:t>
      </w:r>
      <w:r w:rsidRPr="000D7088">
        <w:rPr>
          <w:rFonts w:ascii="Times New Roman" w:hAnsi="Times New Roman"/>
          <w:sz w:val="24"/>
          <w:szCs w:val="24"/>
          <w:lang w:val="fr-FR"/>
        </w:rPr>
        <w:t xml:space="preserve"> A</w:t>
      </w:r>
    </w:p>
    <w:p w:rsidR="00774EDB" w:rsidRPr="000D7088" w:rsidRDefault="00774EDB" w:rsidP="00774EDB">
      <w:pPr>
        <w:ind w:right="-143"/>
        <w:jc w:val="center"/>
        <w:rPr>
          <w:rFonts w:ascii="Times New Roman" w:hAnsi="Times New Roman"/>
          <w:sz w:val="24"/>
          <w:szCs w:val="24"/>
          <w:lang w:val="fr-FR"/>
        </w:rPr>
      </w:pPr>
      <w:r w:rsidRPr="000D7088">
        <w:rPr>
          <w:rFonts w:ascii="Times New Roman" w:hAnsi="Times New Roman"/>
          <w:sz w:val="24"/>
          <w:szCs w:val="24"/>
          <w:lang w:val="fr-FR"/>
        </w:rPr>
        <w:t>(art</w:t>
      </w:r>
      <w:r w:rsidR="00826561" w:rsidRPr="000D7088">
        <w:rPr>
          <w:rFonts w:ascii="Times New Roman" w:hAnsi="Times New Roman"/>
          <w:sz w:val="24"/>
          <w:szCs w:val="24"/>
          <w:lang w:val="fr-FR"/>
        </w:rPr>
        <w:t>.</w:t>
      </w:r>
      <w:r w:rsidRPr="000D7088">
        <w:rPr>
          <w:rFonts w:ascii="Times New Roman" w:hAnsi="Times New Roman"/>
          <w:sz w:val="24"/>
          <w:szCs w:val="24"/>
          <w:lang w:val="fr-FR"/>
        </w:rPr>
        <w:t xml:space="preserve"> 14</w:t>
      </w:r>
      <w:r w:rsidR="003A6165" w:rsidRPr="000D7088">
        <w:rPr>
          <w:rFonts w:ascii="Times New Roman" w:hAnsi="Times New Roman"/>
          <w:sz w:val="24"/>
          <w:szCs w:val="24"/>
          <w:lang w:val="fr-FR"/>
        </w:rPr>
        <w:t> </w:t>
      </w:r>
      <w:r w:rsidRPr="000D7088">
        <w:rPr>
          <w:rFonts w:ascii="Times New Roman" w:hAnsi="Times New Roman"/>
          <w:sz w:val="24"/>
          <w:szCs w:val="24"/>
          <w:lang w:val="fr-FR"/>
        </w:rPr>
        <w:t>bis de</w:t>
      </w:r>
      <w:r w:rsidR="00826561" w:rsidRPr="000D7088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0D7088">
        <w:rPr>
          <w:rFonts w:ascii="Times New Roman" w:hAnsi="Times New Roman"/>
          <w:sz w:val="24"/>
          <w:szCs w:val="24"/>
          <w:lang w:val="fr-FR"/>
        </w:rPr>
        <w:t xml:space="preserve">la </w:t>
      </w:r>
      <w:r w:rsidR="00826561" w:rsidRPr="000D7088">
        <w:rPr>
          <w:rFonts w:ascii="Times New Roman" w:hAnsi="Times New Roman"/>
          <w:sz w:val="24"/>
          <w:szCs w:val="24"/>
          <w:lang w:val="fr-FR"/>
        </w:rPr>
        <w:t>loi régionale n°</w:t>
      </w:r>
      <w:r w:rsidRPr="000D7088">
        <w:rPr>
          <w:rFonts w:ascii="Times New Roman" w:hAnsi="Times New Roman"/>
          <w:sz w:val="24"/>
          <w:szCs w:val="24"/>
          <w:lang w:val="fr-FR"/>
        </w:rPr>
        <w:t xml:space="preserve"> 26</w:t>
      </w:r>
      <w:r w:rsidR="00826561" w:rsidRPr="000D7088">
        <w:rPr>
          <w:rFonts w:ascii="Times New Roman" w:hAnsi="Times New Roman"/>
          <w:sz w:val="24"/>
          <w:szCs w:val="24"/>
          <w:lang w:val="fr-FR"/>
        </w:rPr>
        <w:t xml:space="preserve"> du 20 novembre </w:t>
      </w:r>
      <w:r w:rsidRPr="000D7088">
        <w:rPr>
          <w:rFonts w:ascii="Times New Roman" w:hAnsi="Times New Roman"/>
          <w:sz w:val="24"/>
          <w:szCs w:val="24"/>
          <w:lang w:val="fr-FR"/>
        </w:rPr>
        <w:t>2006)</w:t>
      </w:r>
    </w:p>
    <w:p w:rsidR="00774EDB" w:rsidRPr="000D7088" w:rsidRDefault="00774EDB" w:rsidP="00774EDB">
      <w:pPr>
        <w:jc w:val="center"/>
        <w:rPr>
          <w:rFonts w:ascii="Times New Roman" w:hAnsi="Times New Roman"/>
          <w:sz w:val="24"/>
          <w:szCs w:val="24"/>
          <w:lang w:val="fr-FR"/>
        </w:rPr>
      </w:pPr>
    </w:p>
    <w:p w:rsidR="00826561" w:rsidRPr="000D7088" w:rsidRDefault="00826561" w:rsidP="00774EDB">
      <w:pPr>
        <w:rPr>
          <w:rFonts w:ascii="Times New Roman" w:hAnsi="Times New Roman"/>
          <w:sz w:val="24"/>
          <w:szCs w:val="24"/>
          <w:lang w:val="fr-FR"/>
        </w:rPr>
      </w:pPr>
      <w:r w:rsidRPr="000D7088">
        <w:rPr>
          <w:rFonts w:ascii="Times New Roman" w:hAnsi="Times New Roman"/>
          <w:sz w:val="24"/>
          <w:szCs w:val="24"/>
          <w:lang w:val="fr-FR"/>
        </w:rPr>
        <w:t>Redevance pour l’occupation et l’utilisation des routes régionales et de leurs biens annexes</w:t>
      </w:r>
    </w:p>
    <w:p w:rsidR="00774EDB" w:rsidRPr="000D7088" w:rsidRDefault="00774EDB" w:rsidP="00774EDB">
      <w:pPr>
        <w:rPr>
          <w:rFonts w:ascii="Times New Roman" w:hAnsi="Times New Roman"/>
          <w:sz w:val="24"/>
          <w:szCs w:val="24"/>
          <w:lang w:val="fr-FR"/>
        </w:rPr>
      </w:pPr>
    </w:p>
    <w:p w:rsidR="00774EDB" w:rsidRPr="000D7088" w:rsidRDefault="00774EDB" w:rsidP="00774EDB">
      <w:pPr>
        <w:ind w:right="3542"/>
        <w:jc w:val="both"/>
        <w:rPr>
          <w:rFonts w:ascii="Times New Roman" w:hAnsi="Times New Roman"/>
          <w:sz w:val="24"/>
          <w:szCs w:val="24"/>
          <w:lang w:val="fr-F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7"/>
        <w:gridCol w:w="161"/>
        <w:gridCol w:w="1425"/>
        <w:gridCol w:w="195"/>
        <w:gridCol w:w="2506"/>
      </w:tblGrid>
      <w:tr w:rsidR="000D7088" w:rsidRPr="000D7088" w:rsidTr="00F87345">
        <w:trPr>
          <w:trHeight w:val="598"/>
        </w:trPr>
        <w:tc>
          <w:tcPr>
            <w:tcW w:w="5347" w:type="dxa"/>
            <w:vAlign w:val="center"/>
          </w:tcPr>
          <w:p w:rsidR="00774EDB" w:rsidRPr="000D7088" w:rsidRDefault="007F364D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OBJET</w:t>
            </w:r>
          </w:p>
        </w:tc>
        <w:tc>
          <w:tcPr>
            <w:tcW w:w="1586" w:type="dxa"/>
            <w:gridSpan w:val="2"/>
            <w:vAlign w:val="center"/>
          </w:tcPr>
          <w:p w:rsidR="00774EDB" w:rsidRPr="000D7088" w:rsidRDefault="00826561" w:rsidP="003A6165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Redevance</w:t>
            </w:r>
          </w:p>
        </w:tc>
        <w:tc>
          <w:tcPr>
            <w:tcW w:w="2696" w:type="dxa"/>
            <w:gridSpan w:val="2"/>
            <w:vAlign w:val="center"/>
          </w:tcPr>
          <w:p w:rsidR="00774EDB" w:rsidRPr="000D7088" w:rsidRDefault="00826561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NOTES</w:t>
            </w:r>
          </w:p>
        </w:tc>
      </w:tr>
      <w:tr w:rsidR="000D7088" w:rsidRPr="000D7088" w:rsidTr="00F87345">
        <w:trPr>
          <w:cantSplit/>
        </w:trPr>
        <w:tc>
          <w:tcPr>
            <w:tcW w:w="9629" w:type="dxa"/>
            <w:gridSpan w:val="5"/>
            <w:shd w:val="clear" w:color="auto" w:fill="C0C0C0"/>
          </w:tcPr>
          <w:p w:rsidR="00774EDB" w:rsidRPr="000D7088" w:rsidRDefault="00774EDB" w:rsidP="00826561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kern w:val="36"/>
                <w:sz w:val="24"/>
                <w:szCs w:val="24"/>
                <w:lang w:val="fr-FR"/>
              </w:rPr>
              <w:t>TAB</w:t>
            </w:r>
            <w:r w:rsidR="00826561" w:rsidRPr="000D7088">
              <w:rPr>
                <w:rFonts w:ascii="Times New Roman" w:hAnsi="Times New Roman"/>
                <w:kern w:val="36"/>
                <w:sz w:val="24"/>
                <w:szCs w:val="24"/>
                <w:lang w:val="fr-FR"/>
              </w:rPr>
              <w:t>LEAU</w:t>
            </w:r>
            <w:r w:rsidRPr="000D7088">
              <w:rPr>
                <w:rFonts w:ascii="Times New Roman" w:hAnsi="Times New Roman"/>
                <w:kern w:val="36"/>
                <w:sz w:val="24"/>
                <w:szCs w:val="24"/>
                <w:lang w:val="fr-FR"/>
              </w:rPr>
              <w:t xml:space="preserve"> I) –</w:t>
            </w:r>
            <w:r w:rsidR="003A6165" w:rsidRPr="000D7088">
              <w:rPr>
                <w:rFonts w:ascii="Times New Roman" w:hAnsi="Times New Roman"/>
                <w:kern w:val="36"/>
                <w:sz w:val="24"/>
                <w:szCs w:val="24"/>
                <w:lang w:val="fr-FR"/>
              </w:rPr>
              <w:t xml:space="preserve"> </w:t>
            </w:r>
            <w:r w:rsidRPr="000D7088">
              <w:rPr>
                <w:rFonts w:ascii="Times New Roman" w:hAnsi="Times New Roman"/>
                <w:kern w:val="36"/>
                <w:sz w:val="24"/>
                <w:szCs w:val="24"/>
                <w:lang w:val="fr-FR"/>
              </w:rPr>
              <w:t>TARIF</w:t>
            </w:r>
            <w:r w:rsidR="00826561" w:rsidRPr="000D7088">
              <w:rPr>
                <w:rFonts w:ascii="Times New Roman" w:hAnsi="Times New Roman"/>
                <w:kern w:val="36"/>
                <w:sz w:val="24"/>
                <w:szCs w:val="24"/>
                <w:lang w:val="fr-FR"/>
              </w:rPr>
              <w:t xml:space="preserve"> POUR L’OCCUPATION</w:t>
            </w:r>
            <w:r w:rsidRPr="000D7088">
              <w:rPr>
                <w:rFonts w:ascii="Times New Roman" w:hAnsi="Times New Roman"/>
                <w:kern w:val="36"/>
                <w:sz w:val="24"/>
                <w:szCs w:val="24"/>
                <w:lang w:val="fr-FR"/>
              </w:rPr>
              <w:t xml:space="preserve"> PERMANENT</w:t>
            </w:r>
            <w:r w:rsidR="00826561" w:rsidRPr="000D7088">
              <w:rPr>
                <w:rFonts w:ascii="Times New Roman" w:hAnsi="Times New Roman"/>
                <w:kern w:val="36"/>
                <w:sz w:val="24"/>
                <w:szCs w:val="24"/>
                <w:lang w:val="fr-FR"/>
              </w:rPr>
              <w:t>E</w:t>
            </w:r>
            <w:r w:rsidRPr="000D7088">
              <w:rPr>
                <w:rFonts w:ascii="Times New Roman" w:hAnsi="Times New Roman"/>
                <w:kern w:val="36"/>
                <w:sz w:val="24"/>
                <w:szCs w:val="24"/>
                <w:lang w:val="fr-FR"/>
              </w:rPr>
              <w:t>*</w:t>
            </w:r>
          </w:p>
        </w:tc>
      </w:tr>
      <w:tr w:rsidR="000D7088" w:rsidRPr="000D7088" w:rsidTr="00F87345">
        <w:trPr>
          <w:cantSplit/>
        </w:trPr>
        <w:tc>
          <w:tcPr>
            <w:tcW w:w="5347" w:type="dxa"/>
            <w:tcBorders>
              <w:bottom w:val="single" w:sz="4" w:space="0" w:color="auto"/>
            </w:tcBorders>
            <w:vAlign w:val="center"/>
          </w:tcPr>
          <w:p w:rsidR="00774EDB" w:rsidRPr="000D7088" w:rsidRDefault="00774EDB" w:rsidP="00C52064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PON</w:t>
            </w:r>
            <w:r w:rsidR="007F364D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TS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r w:rsidR="00C4062A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bouches d’égout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, pont</w:t>
            </w:r>
            <w:r w:rsidR="00C4062A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s-canaux pour la conduite des eaux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r w:rsidR="00C11E96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passages supérieurs ou inférieurs 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C11E96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aménagés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C52064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au travers de la chaussée</w:t>
            </w:r>
            <w:r w:rsidR="00C11E96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, pour cha</w:t>
            </w:r>
            <w:r w:rsidR="00C52064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qu</w:t>
            </w:r>
            <w:r w:rsidR="00C11E96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e mètre carré de superficie occupée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:rsidR="00774EDB" w:rsidRPr="000D7088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774EDB" w:rsidRPr="000D7088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774EDB" w:rsidRPr="000D7088" w:rsidRDefault="001326CF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€ 108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</w:tcPr>
          <w:p w:rsidR="00774EDB" w:rsidRPr="000D7088" w:rsidRDefault="00774EDB" w:rsidP="00D03CB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La superficie </w:t>
            </w:r>
            <w:r w:rsidR="00C52064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ou la projection découle de la multiplication de la largeur </w:t>
            </w:r>
            <w:r w:rsidR="00576403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de </w:t>
            </w:r>
            <w:r w:rsidR="00D03CB2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la chaussée</w:t>
            </w:r>
            <w:r w:rsidR="00C52064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par la largeur totale de </w:t>
            </w:r>
            <w:r w:rsidR="009C3C82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l’ouvrage de</w:t>
            </w:r>
            <w:r w:rsidR="00C52064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traversée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</w:tc>
      </w:tr>
      <w:tr w:rsidR="000D7088" w:rsidRPr="000D7088" w:rsidTr="00F87345">
        <w:trPr>
          <w:cantSplit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EDB" w:rsidRPr="000D7088" w:rsidRDefault="00774EDB" w:rsidP="00774EDB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C</w:t>
            </w:r>
            <w:r w:rsidR="00B72655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ANALISATIONS HYDRIQUES EN GÉNÉRAL ET CANALISATIONS D’ÉGOÛTS 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:rsidR="00774EDB" w:rsidRPr="000D7088" w:rsidRDefault="001326CF" w:rsidP="00CB7BDB">
            <w:pPr>
              <w:keepNext/>
              <w:spacing w:before="120"/>
              <w:ind w:firstLine="357"/>
              <w:outlineLvl w:val="1"/>
              <w:rPr>
                <w:rFonts w:ascii="Times New Roman" w:hAnsi="Times New Roman"/>
                <w:iCs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OUVRAGES DE TRAVERSÉE, à forfait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EDB" w:rsidRPr="000D7088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774EDB" w:rsidRPr="000D7088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774EDB" w:rsidRPr="000D7088" w:rsidRDefault="001326CF" w:rsidP="00CB7BD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€ 108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DB" w:rsidRPr="000D7088" w:rsidRDefault="00774EDB" w:rsidP="00594622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La </w:t>
            </w:r>
            <w:r w:rsidR="00A20F94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longueur </w:t>
            </w:r>
            <w:r w:rsidR="00594622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prise en compte</w:t>
            </w:r>
            <w:r w:rsidR="00A20F94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correspond à la longueur</w:t>
            </w:r>
            <w:r w:rsidR="00594622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A20F94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effective mesurée sur l’assiette de la route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</w:tc>
      </w:tr>
      <w:tr w:rsidR="000D7088" w:rsidRPr="000D7088" w:rsidTr="00F87345">
        <w:trPr>
          <w:cantSplit/>
          <w:trHeight w:val="570"/>
        </w:trPr>
        <w:tc>
          <w:tcPr>
            <w:tcW w:w="5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EDB" w:rsidRPr="000D7088" w:rsidRDefault="00A20F94" w:rsidP="00CB7BDB">
            <w:pPr>
              <w:keepNext/>
              <w:spacing w:before="120"/>
              <w:ind w:left="357"/>
              <w:outlineLvl w:val="2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LONGUEUR</w:t>
            </w:r>
            <w:r w:rsidR="007F364D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jusqu’à 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30 m</w:t>
            </w:r>
            <w:r w:rsidR="007F364D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ètres</w:t>
            </w:r>
          </w:p>
        </w:tc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4EDB" w:rsidRPr="000D7088" w:rsidRDefault="001326CF" w:rsidP="00CB7B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€ 15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/m</w:t>
            </w:r>
          </w:p>
        </w:tc>
        <w:tc>
          <w:tcPr>
            <w:tcW w:w="2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B" w:rsidRPr="000D7088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D7088" w:rsidRPr="000D7088" w:rsidTr="00F87345">
        <w:trPr>
          <w:cantSplit/>
          <w:trHeight w:val="1090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B" w:rsidRPr="000D7088" w:rsidRDefault="007F364D" w:rsidP="007F364D">
            <w:pPr>
              <w:keepNext/>
              <w:ind w:left="360"/>
              <w:outlineLvl w:val="2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LONGUEUR au-delà de 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30 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mètres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15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EDB" w:rsidRPr="000D7088" w:rsidRDefault="001326CF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€ 3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/m</w:t>
            </w:r>
          </w:p>
          <w:p w:rsidR="00774EDB" w:rsidRPr="000D7088" w:rsidRDefault="00D03CB2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j</w:t>
            </w:r>
            <w:r w:rsidR="007F7DEC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usqu’à un maximum de</w:t>
            </w:r>
            <w:r w:rsidR="009011CD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€ 3 000</w:t>
            </w:r>
          </w:p>
        </w:tc>
        <w:tc>
          <w:tcPr>
            <w:tcW w:w="2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B" w:rsidRPr="000D7088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D7088" w:rsidRPr="000D7088" w:rsidTr="00F87345">
        <w:trPr>
          <w:cantSplit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EDB" w:rsidRPr="000D7088" w:rsidRDefault="00774EDB" w:rsidP="00774EDB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C</w:t>
            </w:r>
            <w:r w:rsidR="00B72655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ANALISATIONS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B72655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souterraines pour l’énergie électrique, câbles téléphoniques ou télégraphique</w:t>
            </w:r>
            <w:r w:rsidR="00594622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s</w:t>
            </w:r>
            <w:r w:rsidR="00B72655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et installations en général</w:t>
            </w:r>
            <w:r w:rsidR="00594622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 :</w:t>
            </w:r>
          </w:p>
          <w:p w:rsidR="00774EDB" w:rsidRPr="000D7088" w:rsidRDefault="001326CF" w:rsidP="00CB7BDB">
            <w:pPr>
              <w:keepNext/>
              <w:spacing w:before="120"/>
              <w:ind w:firstLine="357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OUVRAGES DE TRAVERSÉE, à forfait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EDB" w:rsidRPr="000D7088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774EDB" w:rsidRPr="000D7088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774EDB" w:rsidRPr="000D7088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774EDB" w:rsidRPr="000D7088" w:rsidRDefault="000B3089" w:rsidP="00CB7BD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€ 108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EDB" w:rsidRPr="000D7088" w:rsidRDefault="00CB7BDB" w:rsidP="00774EDB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La longueur prise en compte correspond à la longueur effective mesurée sur l’assiette de la route.</w:t>
            </w:r>
          </w:p>
        </w:tc>
      </w:tr>
      <w:tr w:rsidR="000D7088" w:rsidRPr="000D7088" w:rsidTr="00CB7BDB">
        <w:trPr>
          <w:cantSplit/>
          <w:trHeight w:val="539"/>
        </w:trPr>
        <w:tc>
          <w:tcPr>
            <w:tcW w:w="5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EDB" w:rsidRPr="000D7088" w:rsidRDefault="00A20F94" w:rsidP="00CB7BDB">
            <w:pPr>
              <w:keepNext/>
              <w:spacing w:before="120"/>
              <w:ind w:left="357"/>
              <w:outlineLvl w:val="2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LONGUEUR</w:t>
            </w:r>
            <w:r w:rsidR="007F364D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jusqu’à 30 mètres</w:t>
            </w:r>
          </w:p>
        </w:tc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4EDB" w:rsidRPr="000D7088" w:rsidRDefault="000B3089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€ 15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/m</w:t>
            </w: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EDB" w:rsidRPr="000D7088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D7088" w:rsidRPr="000D7088" w:rsidTr="00F87345">
        <w:trPr>
          <w:cantSplit/>
          <w:trHeight w:val="85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B" w:rsidRPr="000D7088" w:rsidRDefault="00A20F94" w:rsidP="00CB7BDB">
            <w:pPr>
              <w:keepNext/>
              <w:spacing w:before="120"/>
              <w:ind w:left="360"/>
              <w:outlineLvl w:val="2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LONGUEUR</w:t>
            </w:r>
            <w:r w:rsidR="007F364D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au-delà de 30 mètres</w:t>
            </w:r>
          </w:p>
        </w:tc>
        <w:tc>
          <w:tcPr>
            <w:tcW w:w="15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B" w:rsidRPr="000D7088" w:rsidRDefault="001326CF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€ 3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/m</w:t>
            </w:r>
          </w:p>
          <w:p w:rsidR="00774EDB" w:rsidRPr="000D7088" w:rsidRDefault="00CB7BDB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j</w:t>
            </w:r>
            <w:r w:rsidR="007F7DEC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usqu’à un maximum de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  <w:p w:rsidR="00774EDB" w:rsidRPr="000D7088" w:rsidRDefault="000B3089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€ 3 000</w:t>
            </w: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B" w:rsidRPr="000D7088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D7088" w:rsidRPr="000D7088" w:rsidTr="00F87345">
        <w:trPr>
          <w:cantSplit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EDB" w:rsidRPr="000D7088" w:rsidRDefault="00774EDB" w:rsidP="00774EDB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LI</w:t>
            </w:r>
            <w:r w:rsidR="000B3089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GNES</w:t>
            </w:r>
            <w:r w:rsidRPr="000D708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r w:rsidR="000B3089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téléphoniques, télégraphiques</w:t>
            </w:r>
            <w:r w:rsidR="00CB7B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et </w:t>
            </w:r>
            <w:r w:rsidR="000B3089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électriques aérien</w:t>
            </w:r>
            <w:r w:rsidR="00CE4477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ne</w:t>
            </w:r>
            <w:r w:rsidR="000B3089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s</w:t>
            </w:r>
          </w:p>
          <w:p w:rsidR="00774EDB" w:rsidRPr="000D7088" w:rsidRDefault="001326CF" w:rsidP="00CE4477">
            <w:pPr>
              <w:keepNext/>
              <w:spacing w:before="120"/>
              <w:ind w:firstLine="357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>OUVRAGES DE TRAVERSÉE, à forfait</w:t>
            </w:r>
            <w:r w:rsidR="00774EDB" w:rsidRPr="000D7088">
              <w:rPr>
                <w:rFonts w:ascii="Times New Roman" w:hAnsi="Times New Roman"/>
                <w:i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74EDB" w:rsidRPr="000D7088" w:rsidRDefault="000B3089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€ 108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EDB" w:rsidRPr="000D7088" w:rsidRDefault="009C3C82" w:rsidP="00CE4477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Si la situation environnementale entraîne l’obligation d’installer des ouvrages de sou</w:t>
            </w:r>
            <w:r w:rsidR="00CE4477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tènement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touchant l’assiette de la route 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(mu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rs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trottoirs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bas-côtés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, e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t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c.)</w:t>
            </w:r>
            <w:r w:rsidR="00CE4477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,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une surtaxe de €</w:t>
            </w:r>
            <w:r w:rsidR="00CE4477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 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50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ar ouvrage est due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</w:tc>
      </w:tr>
      <w:tr w:rsidR="000D7088" w:rsidRPr="000D7088" w:rsidTr="00CE4477">
        <w:trPr>
          <w:cantSplit/>
          <w:trHeight w:val="464"/>
        </w:trPr>
        <w:tc>
          <w:tcPr>
            <w:tcW w:w="5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EDB" w:rsidRPr="000D7088" w:rsidRDefault="000B3089" w:rsidP="00CE4477">
            <w:pPr>
              <w:keepNext/>
              <w:spacing w:before="120"/>
              <w:ind w:left="357"/>
              <w:outlineLvl w:val="1"/>
              <w:rPr>
                <w:rFonts w:ascii="Times New Roman" w:hAnsi="Times New Roman"/>
                <w:iCs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L</w:t>
            </w:r>
            <w:r w:rsidR="007F364D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ONGUEUR jusqu’à 30 mètres</w:t>
            </w:r>
          </w:p>
        </w:tc>
        <w:tc>
          <w:tcPr>
            <w:tcW w:w="15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4EDB" w:rsidRPr="000D7088" w:rsidRDefault="000B3089" w:rsidP="00CE447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€ 15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/m</w:t>
            </w: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DB" w:rsidRPr="000D7088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D7088" w:rsidRPr="000D7088" w:rsidTr="00F87345">
        <w:trPr>
          <w:cantSplit/>
          <w:trHeight w:val="960"/>
        </w:trPr>
        <w:tc>
          <w:tcPr>
            <w:tcW w:w="5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EDB" w:rsidRPr="000D7088" w:rsidRDefault="00A20F94" w:rsidP="00CE4477">
            <w:pPr>
              <w:keepNext/>
              <w:spacing w:before="120"/>
              <w:ind w:left="357"/>
              <w:outlineLvl w:val="1"/>
              <w:rPr>
                <w:rFonts w:ascii="Times New Roman" w:hAnsi="Times New Roman"/>
                <w:iCs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LONGUEUR</w:t>
            </w:r>
            <w:r w:rsidR="007F364D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au-delà de 30 mètres</w:t>
            </w:r>
          </w:p>
        </w:tc>
        <w:tc>
          <w:tcPr>
            <w:tcW w:w="15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74EDB" w:rsidRPr="000D7088" w:rsidRDefault="001326CF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€ 3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/m</w:t>
            </w:r>
          </w:p>
          <w:p w:rsidR="00774EDB" w:rsidRPr="000D7088" w:rsidRDefault="00CE4477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j</w:t>
            </w:r>
            <w:r w:rsidR="001326CF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usqu’à un maximum de</w:t>
            </w:r>
            <w:r w:rsidR="000B3089" w:rsidRPr="000D7088">
              <w:rPr>
                <w:rFonts w:ascii="Times New Roman" w:hAnsi="Times New Roman"/>
                <w:sz w:val="24"/>
                <w:szCs w:val="24"/>
                <w:lang w:val="fr-FR"/>
              </w:rPr>
              <w:br/>
              <w:t>€ 3 000</w:t>
            </w: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DB" w:rsidRPr="000D7088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D7088" w:rsidRPr="000D7088" w:rsidTr="00F87345">
        <w:trPr>
          <w:cantSplit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DB" w:rsidRPr="000D7088" w:rsidRDefault="001326CF" w:rsidP="00774EDB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Autres</w:t>
            </w:r>
            <w:r w:rsidRPr="000D708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OUVRAGES DE TRAVERSÉE avec des câbles aériens de quelque genre que ce soit,  à forfait</w:t>
            </w:r>
          </w:p>
        </w:tc>
        <w:tc>
          <w:tcPr>
            <w:tcW w:w="15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DB" w:rsidRPr="000D7088" w:rsidRDefault="000B3089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€ 150</w:t>
            </w: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DB" w:rsidRPr="000D7088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D7088" w:rsidRPr="000D7088" w:rsidTr="00304B4F">
        <w:trPr>
          <w:cantSplit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EDB" w:rsidRPr="000D7088" w:rsidRDefault="00774EDB" w:rsidP="00CE4477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iCs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C</w:t>
            </w:r>
            <w:r w:rsidR="009B3E76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ANALISATIONS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9B3E76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pour oléoducs et gazoducs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CE4477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et OUVRAGES DE TRAVERSÉE, à forfait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4EDB" w:rsidRPr="000D7088" w:rsidRDefault="000B3089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€ 150</w:t>
            </w:r>
          </w:p>
        </w:tc>
        <w:tc>
          <w:tcPr>
            <w:tcW w:w="26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DB" w:rsidRPr="000D7088" w:rsidRDefault="00304B4F" w:rsidP="00304B4F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La longueur prise en compte correspond à la 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>longueur effective mesurée sur l’assiette de la route.</w:t>
            </w:r>
          </w:p>
        </w:tc>
      </w:tr>
      <w:tr w:rsidR="000D7088" w:rsidRPr="000D7088" w:rsidTr="00304B4F">
        <w:trPr>
          <w:cantSplit/>
          <w:trHeight w:val="1300"/>
        </w:trPr>
        <w:tc>
          <w:tcPr>
            <w:tcW w:w="5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4EDB" w:rsidRPr="000D7088" w:rsidRDefault="00A20F94" w:rsidP="00304B4F">
            <w:pPr>
              <w:spacing w:before="120"/>
              <w:ind w:left="357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>LONGUEUR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4EDB" w:rsidRPr="000D7088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DB" w:rsidRPr="000D7088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D7088" w:rsidRPr="000D7088" w:rsidTr="00F87345">
        <w:trPr>
          <w:cantSplit/>
          <w:trHeight w:val="413"/>
        </w:trPr>
        <w:tc>
          <w:tcPr>
            <w:tcW w:w="5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EDB" w:rsidRPr="000D7088" w:rsidRDefault="00774EDB" w:rsidP="009B3E76">
            <w:pPr>
              <w:keepNext/>
              <w:ind w:left="36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>Ol</w:t>
            </w:r>
            <w:r w:rsidR="00592C46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éoducs</w:t>
            </w:r>
            <w:r w:rsidR="009B3E76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et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592C46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gazoducs jusqu’à 30 mètres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4EDB" w:rsidRPr="000D7088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774EDB" w:rsidRPr="000D7088" w:rsidRDefault="000B3089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€ 18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/m</w:t>
            </w:r>
          </w:p>
          <w:p w:rsidR="00774EDB" w:rsidRPr="000D7088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4EDB" w:rsidRPr="000D7088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D7088" w:rsidRPr="000D7088" w:rsidTr="00304B4F">
        <w:trPr>
          <w:cantSplit/>
          <w:trHeight w:val="1145"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DB" w:rsidRPr="000D7088" w:rsidRDefault="009B3E76" w:rsidP="009B3E76">
            <w:pPr>
              <w:keepNext/>
              <w:ind w:left="357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Oléoducs et gazoducs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au-delà de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30 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mètres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DB" w:rsidRPr="000D7088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€ 3/m</w:t>
            </w:r>
          </w:p>
          <w:p w:rsidR="00774EDB" w:rsidRPr="000D7088" w:rsidRDefault="00304B4F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j</w:t>
            </w:r>
            <w:r w:rsidR="000B3089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usqu’à un maximum de</w:t>
            </w:r>
            <w:r w:rsidR="000B3089" w:rsidRPr="000D7088">
              <w:rPr>
                <w:rFonts w:ascii="Times New Roman" w:hAnsi="Times New Roman"/>
                <w:sz w:val="24"/>
                <w:szCs w:val="24"/>
                <w:lang w:val="fr-FR"/>
              </w:rPr>
              <w:br/>
              <w:t>€ 3 000</w:t>
            </w:r>
          </w:p>
        </w:tc>
        <w:tc>
          <w:tcPr>
            <w:tcW w:w="2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EDB" w:rsidRPr="000D7088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D7088" w:rsidRPr="000D7088" w:rsidTr="00F87345">
        <w:trPr>
          <w:cantSplit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EDB" w:rsidRPr="000D7088" w:rsidRDefault="00592C46" w:rsidP="00304B4F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PANNEAUX PUBLICITAIRES</w:t>
            </w:r>
            <w:r w:rsidR="00774EDB" w:rsidRPr="000D708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0D7088">
              <w:rPr>
                <w:rFonts w:ascii="Times New Roman" w:hAnsi="Times New Roman"/>
                <w:sz w:val="24"/>
                <w:szCs w:val="24"/>
                <w:u w:val="single"/>
                <w:lang w:val="fr-FR"/>
              </w:rPr>
              <w:t>placés sur le domaine routier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et autorisés au préalable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par les organes régionaux compétents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, p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our chaque mètre carré de superficie et pour chaque</w:t>
            </w:r>
            <w:r w:rsidR="00304B4F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face :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4EDB" w:rsidRPr="000D7088" w:rsidRDefault="00774EDB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696" w:type="dxa"/>
            <w:gridSpan w:val="2"/>
            <w:vMerge w:val="restart"/>
            <w:vAlign w:val="center"/>
          </w:tcPr>
          <w:p w:rsidR="00774EDB" w:rsidRPr="000D7088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774EDB" w:rsidRPr="000D7088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L</w:t>
            </w:r>
            <w:r w:rsidR="00FD74F6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a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FD74F6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surface publicitaire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BE1356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minimale prise </w:t>
            </w:r>
            <w:r w:rsidR="00FD74F6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en compte </w:t>
            </w:r>
            <w:r w:rsidR="00BE1356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est d’</w:t>
            </w:r>
            <w:r w:rsidR="00FD74F6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un mètre carré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</w:p>
          <w:p w:rsidR="00774EDB" w:rsidRPr="000D7088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D7088" w:rsidRPr="000D7088" w:rsidTr="00F87345">
        <w:trPr>
          <w:cantSplit/>
        </w:trPr>
        <w:tc>
          <w:tcPr>
            <w:tcW w:w="5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4EDB" w:rsidRPr="000D7088" w:rsidRDefault="00FC1D5D" w:rsidP="00304B4F">
            <w:pPr>
              <w:numPr>
                <w:ilvl w:val="0"/>
                <w:numId w:val="2"/>
              </w:numPr>
              <w:spacing w:before="12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Par mètre carré</w:t>
            </w:r>
          </w:p>
        </w:tc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:rsidR="00774EDB" w:rsidRPr="000D7088" w:rsidRDefault="000B3089" w:rsidP="00304B4F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€ 150</w:t>
            </w:r>
          </w:p>
        </w:tc>
        <w:tc>
          <w:tcPr>
            <w:tcW w:w="2696" w:type="dxa"/>
            <w:gridSpan w:val="2"/>
            <w:vMerge/>
            <w:vAlign w:val="center"/>
          </w:tcPr>
          <w:p w:rsidR="00774EDB" w:rsidRPr="000D7088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D7088" w:rsidRPr="000D7088" w:rsidTr="00F87345">
        <w:trPr>
          <w:cantSplit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EDB" w:rsidRPr="000D7088" w:rsidRDefault="000B3089" w:rsidP="00304B4F">
            <w:pPr>
              <w:numPr>
                <w:ilvl w:val="0"/>
                <w:numId w:val="2"/>
              </w:numPr>
              <w:spacing w:before="12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Signaux d’indication </w:t>
            </w:r>
            <w:r w:rsidR="009B3E76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(flèche</w:t>
            </w:r>
            <w:r w:rsidR="00BE1356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s</w:t>
            </w:r>
            <w:r w:rsidR="009B3E76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) dimension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9B3E76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maximale autorisée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cm 125 x cm 25</w:t>
            </w:r>
          </w:p>
        </w:tc>
        <w:tc>
          <w:tcPr>
            <w:tcW w:w="15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774EDB" w:rsidRPr="000D7088" w:rsidRDefault="00774EDB" w:rsidP="00304B4F">
            <w:pPr>
              <w:spacing w:before="12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774EDB" w:rsidRPr="000D7088" w:rsidRDefault="000B3089" w:rsidP="00304B4F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€ 90</w:t>
            </w:r>
          </w:p>
        </w:tc>
        <w:tc>
          <w:tcPr>
            <w:tcW w:w="26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74EDB" w:rsidRPr="000D7088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D7088" w:rsidRPr="000D7088" w:rsidTr="00F87345">
        <w:trPr>
          <w:cantSplit/>
          <w:trHeight w:val="598"/>
        </w:trPr>
        <w:tc>
          <w:tcPr>
            <w:tcW w:w="5347" w:type="dxa"/>
            <w:tcBorders>
              <w:bottom w:val="nil"/>
            </w:tcBorders>
          </w:tcPr>
          <w:p w:rsidR="00774EDB" w:rsidRPr="000D7088" w:rsidRDefault="00774EDB" w:rsidP="00774EDB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UTIL</w:t>
            </w:r>
            <w:r w:rsidR="007F364D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ISATION d’ouvrages</w:t>
            </w:r>
          </w:p>
          <w:p w:rsidR="00774EDB" w:rsidRPr="000D7088" w:rsidRDefault="007F364D" w:rsidP="00BE1356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(ponts</w:t>
            </w:r>
            <w:r w:rsidR="00BE1356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,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viad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ucs</w:t>
            </w:r>
            <w:r w:rsidR="00BE1356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,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8947DF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passages inférieurs, etc.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1586" w:type="dxa"/>
            <w:gridSpan w:val="2"/>
            <w:vMerge w:val="restart"/>
            <w:vAlign w:val="center"/>
          </w:tcPr>
          <w:p w:rsidR="00774EDB" w:rsidRPr="000D7088" w:rsidRDefault="00774EDB" w:rsidP="00774E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96" w:type="dxa"/>
            <w:gridSpan w:val="2"/>
            <w:vMerge w:val="restart"/>
            <w:vAlign w:val="center"/>
          </w:tcPr>
          <w:p w:rsidR="00774EDB" w:rsidRPr="000D7088" w:rsidRDefault="00774EDB" w:rsidP="00774E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0D7088" w:rsidRPr="000D7088" w:rsidTr="00647F9C">
        <w:trPr>
          <w:cantSplit/>
          <w:trHeight w:val="428"/>
        </w:trPr>
        <w:tc>
          <w:tcPr>
            <w:tcW w:w="5347" w:type="dxa"/>
            <w:tcBorders>
              <w:top w:val="nil"/>
              <w:bottom w:val="nil"/>
            </w:tcBorders>
          </w:tcPr>
          <w:p w:rsidR="00774EDB" w:rsidRPr="000D7088" w:rsidRDefault="00E24E61" w:rsidP="00BE1356">
            <w:pPr>
              <w:ind w:left="364"/>
              <w:outlineLvl w:val="5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ANCRAGE</w:t>
            </w:r>
            <w:r w:rsidR="00774EDB" w:rsidRPr="000D708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, </w:t>
            </w:r>
            <w:r w:rsidR="00A20F94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LONGUEUR</w:t>
            </w:r>
            <w:r w:rsidR="00774EDB" w:rsidRPr="000D708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 </w:t>
            </w:r>
            <w:r w:rsidR="001326CF" w:rsidRPr="000D708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pour chaque mètre</w:t>
            </w:r>
            <w:r w:rsidR="00774EDB" w:rsidRPr="000D7088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586" w:type="dxa"/>
            <w:gridSpan w:val="2"/>
            <w:vMerge/>
            <w:tcBorders>
              <w:bottom w:val="nil"/>
            </w:tcBorders>
            <w:vAlign w:val="center"/>
          </w:tcPr>
          <w:p w:rsidR="00774EDB" w:rsidRPr="000D7088" w:rsidRDefault="00774EDB" w:rsidP="00774ED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696" w:type="dxa"/>
            <w:gridSpan w:val="2"/>
            <w:vMerge/>
            <w:vAlign w:val="center"/>
          </w:tcPr>
          <w:p w:rsidR="00774EDB" w:rsidRPr="000D7088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D7088" w:rsidRPr="000D7088" w:rsidTr="00F87345">
        <w:trPr>
          <w:cantSplit/>
        </w:trPr>
        <w:tc>
          <w:tcPr>
            <w:tcW w:w="5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4EDB" w:rsidRPr="000D7088" w:rsidRDefault="000B3089" w:rsidP="000B3089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L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i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gnes électriques, téléphoniques et télégraphiques, pour chaque câble </w:t>
            </w:r>
          </w:p>
        </w:tc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:rsidR="00774EDB" w:rsidRPr="000D7088" w:rsidRDefault="009011CD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€ 36</w:t>
            </w:r>
          </w:p>
        </w:tc>
        <w:tc>
          <w:tcPr>
            <w:tcW w:w="2696" w:type="dxa"/>
            <w:gridSpan w:val="2"/>
            <w:vMerge/>
            <w:vAlign w:val="center"/>
          </w:tcPr>
          <w:p w:rsidR="00774EDB" w:rsidRPr="000D7088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D7088" w:rsidRPr="000D7088" w:rsidTr="00F87345">
        <w:trPr>
          <w:cantSplit/>
        </w:trPr>
        <w:tc>
          <w:tcPr>
            <w:tcW w:w="5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74EDB" w:rsidRPr="000D7088" w:rsidRDefault="00647F9C" w:rsidP="000B3089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É</w:t>
            </w:r>
            <w:r w:rsidR="008947DF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gouts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r w:rsidR="000B3089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réseaux de distribution d’eau et réseaux hydriques en général</w:t>
            </w:r>
          </w:p>
        </w:tc>
        <w:tc>
          <w:tcPr>
            <w:tcW w:w="15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74EDB" w:rsidRPr="000D7088" w:rsidRDefault="009011CD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€ 60</w:t>
            </w:r>
          </w:p>
        </w:tc>
        <w:tc>
          <w:tcPr>
            <w:tcW w:w="2696" w:type="dxa"/>
            <w:gridSpan w:val="2"/>
            <w:vMerge/>
            <w:vAlign w:val="center"/>
          </w:tcPr>
          <w:p w:rsidR="00774EDB" w:rsidRPr="000D7088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D7088" w:rsidRPr="000D7088" w:rsidTr="00F87345">
        <w:trPr>
          <w:cantSplit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4EDB" w:rsidRPr="000D7088" w:rsidRDefault="00647F9C" w:rsidP="000B3089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O</w:t>
            </w:r>
            <w:r w:rsidR="000B3089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léoducs et gazoducs</w:t>
            </w:r>
          </w:p>
        </w:tc>
        <w:tc>
          <w:tcPr>
            <w:tcW w:w="15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774EDB" w:rsidRPr="000D7088" w:rsidRDefault="009011CD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€ 90</w:t>
            </w:r>
          </w:p>
        </w:tc>
        <w:tc>
          <w:tcPr>
            <w:tcW w:w="2696" w:type="dxa"/>
            <w:gridSpan w:val="2"/>
            <w:vMerge/>
            <w:vAlign w:val="center"/>
          </w:tcPr>
          <w:p w:rsidR="00774EDB" w:rsidRPr="000D7088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D7088" w:rsidRPr="000D7088" w:rsidTr="00F87345">
        <w:trPr>
          <w:cantSplit/>
        </w:trPr>
        <w:tc>
          <w:tcPr>
            <w:tcW w:w="5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345" w:rsidRPr="000D7088" w:rsidRDefault="00F87345" w:rsidP="00F87345">
            <w:pPr>
              <w:ind w:left="72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5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F87345" w:rsidRPr="000D7088" w:rsidRDefault="00F87345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696" w:type="dxa"/>
            <w:gridSpan w:val="2"/>
            <w:vAlign w:val="center"/>
          </w:tcPr>
          <w:p w:rsidR="00F87345" w:rsidRPr="000D7088" w:rsidRDefault="00F87345" w:rsidP="00774EDB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D7088" w:rsidRPr="000D7088" w:rsidTr="00F87345">
        <w:trPr>
          <w:cantSplit/>
        </w:trPr>
        <w:tc>
          <w:tcPr>
            <w:tcW w:w="9634" w:type="dxa"/>
            <w:gridSpan w:val="5"/>
            <w:shd w:val="clear" w:color="auto" w:fill="C0C0C0"/>
          </w:tcPr>
          <w:p w:rsidR="00774EDB" w:rsidRPr="000D7088" w:rsidRDefault="00774EDB" w:rsidP="00774EDB">
            <w:pPr>
              <w:outlineLvl w:val="0"/>
              <w:rPr>
                <w:rFonts w:ascii="Times New Roman" w:hAnsi="Times New Roman"/>
                <w:kern w:val="36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kern w:val="36"/>
                <w:sz w:val="30"/>
                <w:szCs w:val="30"/>
                <w:lang w:val="fr-FR"/>
              </w:rPr>
              <w:t xml:space="preserve"> </w:t>
            </w:r>
            <w:r w:rsidRPr="000D7088">
              <w:rPr>
                <w:rFonts w:ascii="Times New Roman" w:hAnsi="Times New Roman"/>
                <w:kern w:val="36"/>
                <w:sz w:val="24"/>
                <w:szCs w:val="24"/>
                <w:lang w:val="fr-FR"/>
              </w:rPr>
              <w:t>TAB</w:t>
            </w:r>
            <w:r w:rsidR="00826561" w:rsidRPr="000D7088">
              <w:rPr>
                <w:rFonts w:ascii="Times New Roman" w:hAnsi="Times New Roman"/>
                <w:kern w:val="36"/>
                <w:sz w:val="24"/>
                <w:szCs w:val="24"/>
                <w:lang w:val="fr-FR"/>
              </w:rPr>
              <w:t>LEAU</w:t>
            </w:r>
            <w:r w:rsidRPr="000D7088">
              <w:rPr>
                <w:rFonts w:ascii="Times New Roman" w:hAnsi="Times New Roman"/>
                <w:kern w:val="36"/>
                <w:sz w:val="24"/>
                <w:szCs w:val="24"/>
                <w:lang w:val="fr-FR"/>
              </w:rPr>
              <w:t xml:space="preserve"> II)</w:t>
            </w:r>
            <w:r w:rsidRPr="000D7088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val="fr-FR"/>
              </w:rPr>
              <w:t xml:space="preserve"> </w:t>
            </w:r>
            <w:r w:rsidRPr="000D7088">
              <w:rPr>
                <w:rFonts w:ascii="Times New Roman" w:hAnsi="Times New Roman"/>
                <w:kern w:val="36"/>
                <w:sz w:val="24"/>
                <w:szCs w:val="24"/>
                <w:lang w:val="fr-FR"/>
              </w:rPr>
              <w:t>– TARIF</w:t>
            </w:r>
            <w:r w:rsidR="00826561" w:rsidRPr="000D7088">
              <w:rPr>
                <w:rFonts w:ascii="Times New Roman" w:hAnsi="Times New Roman"/>
                <w:kern w:val="36"/>
                <w:sz w:val="24"/>
                <w:szCs w:val="24"/>
                <w:lang w:val="fr-FR"/>
              </w:rPr>
              <w:t xml:space="preserve"> POUR LES</w:t>
            </w:r>
            <w:r w:rsidRPr="000D7088">
              <w:rPr>
                <w:rFonts w:ascii="Times New Roman" w:hAnsi="Times New Roman"/>
                <w:kern w:val="36"/>
                <w:sz w:val="24"/>
                <w:szCs w:val="24"/>
                <w:lang w:val="fr-FR"/>
              </w:rPr>
              <w:t xml:space="preserve"> OCCUPA</w:t>
            </w:r>
            <w:r w:rsidR="00826561" w:rsidRPr="000D7088">
              <w:rPr>
                <w:rFonts w:ascii="Times New Roman" w:hAnsi="Times New Roman"/>
                <w:kern w:val="36"/>
                <w:sz w:val="24"/>
                <w:szCs w:val="24"/>
                <w:lang w:val="fr-FR"/>
              </w:rPr>
              <w:t>TIONS</w:t>
            </w:r>
            <w:r w:rsidRPr="000D7088">
              <w:rPr>
                <w:rFonts w:ascii="Times New Roman" w:hAnsi="Times New Roman"/>
                <w:kern w:val="36"/>
                <w:sz w:val="24"/>
                <w:szCs w:val="24"/>
                <w:lang w:val="fr-FR"/>
              </w:rPr>
              <w:t xml:space="preserve"> </w:t>
            </w:r>
            <w:r w:rsidR="00826561" w:rsidRPr="000D7088">
              <w:rPr>
                <w:rFonts w:ascii="Times New Roman" w:hAnsi="Times New Roman"/>
                <w:kern w:val="36"/>
                <w:sz w:val="24"/>
                <w:szCs w:val="24"/>
                <w:lang w:val="fr-FR"/>
              </w:rPr>
              <w:t>TEMPORAIRES</w:t>
            </w:r>
            <w:r w:rsidRPr="000D7088">
              <w:rPr>
                <w:rFonts w:ascii="Times New Roman" w:hAnsi="Times New Roman"/>
                <w:kern w:val="36"/>
                <w:sz w:val="24"/>
                <w:szCs w:val="24"/>
                <w:lang w:val="fr-FR"/>
              </w:rPr>
              <w:t>*</w:t>
            </w:r>
          </w:p>
          <w:p w:rsidR="00774EDB" w:rsidRPr="000D7088" w:rsidRDefault="00774EDB" w:rsidP="00826561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(</w:t>
            </w:r>
            <w:r w:rsidR="00826561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un an au plus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)</w:t>
            </w:r>
          </w:p>
        </w:tc>
      </w:tr>
      <w:tr w:rsidR="000D7088" w:rsidRPr="000D7088" w:rsidTr="00F87345">
        <w:trPr>
          <w:trHeight w:val="598"/>
        </w:trPr>
        <w:tc>
          <w:tcPr>
            <w:tcW w:w="5508" w:type="dxa"/>
            <w:gridSpan w:val="2"/>
            <w:vAlign w:val="center"/>
          </w:tcPr>
          <w:p w:rsidR="00774EDB" w:rsidRPr="000D7088" w:rsidRDefault="008947DF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OBJET</w:t>
            </w:r>
          </w:p>
        </w:tc>
        <w:tc>
          <w:tcPr>
            <w:tcW w:w="1620" w:type="dxa"/>
            <w:gridSpan w:val="2"/>
            <w:vAlign w:val="center"/>
          </w:tcPr>
          <w:p w:rsidR="00774EDB" w:rsidRPr="000D7088" w:rsidRDefault="00826561" w:rsidP="00647F9C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Redevance</w:t>
            </w:r>
          </w:p>
        </w:tc>
        <w:tc>
          <w:tcPr>
            <w:tcW w:w="2506" w:type="dxa"/>
            <w:vAlign w:val="center"/>
          </w:tcPr>
          <w:p w:rsidR="00774EDB" w:rsidRPr="000D7088" w:rsidRDefault="00826561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NOTES</w:t>
            </w:r>
          </w:p>
        </w:tc>
      </w:tr>
      <w:tr w:rsidR="000D7088" w:rsidRPr="000D7088" w:rsidTr="00F87345">
        <w:trPr>
          <w:trHeight w:val="598"/>
        </w:trPr>
        <w:tc>
          <w:tcPr>
            <w:tcW w:w="5508" w:type="dxa"/>
            <w:gridSpan w:val="2"/>
          </w:tcPr>
          <w:p w:rsidR="00774EDB" w:rsidRPr="000D7088" w:rsidRDefault="00774EDB" w:rsidP="000A7A2B">
            <w:pPr>
              <w:ind w:left="357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Occupa</w:t>
            </w:r>
            <w:r w:rsidR="00E12FCA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tion de la route ou de ses biens annexes par des entrepôts de matériaux, des ponts de service, des chantier</w:t>
            </w:r>
            <w:r w:rsidR="00A20F94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s</w:t>
            </w:r>
            <w:r w:rsidR="00E12FCA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ou autre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,</w:t>
            </w:r>
            <w:r w:rsidR="00E12FCA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pour chaque mois entier</w:t>
            </w:r>
            <w:r w:rsidR="000A7A2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et</w:t>
            </w:r>
            <w:r w:rsidR="00E12FCA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mètre carré de superficie occupée 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 w:rsidR="00774EDB" w:rsidRPr="000D7088" w:rsidRDefault="009011CD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€ 10</w:t>
            </w:r>
          </w:p>
        </w:tc>
        <w:tc>
          <w:tcPr>
            <w:tcW w:w="2506" w:type="dxa"/>
            <w:vAlign w:val="center"/>
          </w:tcPr>
          <w:p w:rsidR="00774EDB" w:rsidRPr="000D7088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D7088" w:rsidRPr="000D7088" w:rsidTr="00F87345">
        <w:trPr>
          <w:trHeight w:val="598"/>
        </w:trPr>
        <w:tc>
          <w:tcPr>
            <w:tcW w:w="5508" w:type="dxa"/>
            <w:gridSpan w:val="2"/>
          </w:tcPr>
          <w:p w:rsidR="00774EDB" w:rsidRPr="000D7088" w:rsidRDefault="00774EDB" w:rsidP="00E12FCA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A</w:t>
            </w:r>
            <w:r w:rsidR="00E12FCA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utres</w:t>
            </w:r>
            <w:r w:rsidRPr="000D708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E12FCA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OUVRAGES DE TRAVERSÉE avec des câbles aériens de quelque genre que ce soit, </w:t>
            </w: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E12FCA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à forfait</w:t>
            </w:r>
          </w:p>
        </w:tc>
        <w:tc>
          <w:tcPr>
            <w:tcW w:w="1620" w:type="dxa"/>
            <w:gridSpan w:val="2"/>
            <w:vAlign w:val="center"/>
          </w:tcPr>
          <w:p w:rsidR="00774EDB" w:rsidRPr="000D7088" w:rsidRDefault="009011CD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€ 25</w:t>
            </w:r>
          </w:p>
        </w:tc>
        <w:tc>
          <w:tcPr>
            <w:tcW w:w="2506" w:type="dxa"/>
            <w:vAlign w:val="center"/>
          </w:tcPr>
          <w:p w:rsidR="00774EDB" w:rsidRPr="000D7088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D7088" w:rsidRPr="000D7088" w:rsidTr="00F87345">
        <w:trPr>
          <w:trHeight w:val="598"/>
        </w:trPr>
        <w:tc>
          <w:tcPr>
            <w:tcW w:w="5508" w:type="dxa"/>
            <w:gridSpan w:val="2"/>
            <w:vAlign w:val="center"/>
          </w:tcPr>
          <w:p w:rsidR="00774EDB" w:rsidRPr="000D7088" w:rsidRDefault="00E24E61" w:rsidP="00E12FCA">
            <w:pPr>
              <w:ind w:left="357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ANCRAGE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1326CF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de quelque genre que ce soit</w:t>
            </w:r>
            <w:r w:rsidR="00E12FCA" w:rsidRPr="000D7088">
              <w:rPr>
                <w:rFonts w:ascii="Times New Roman" w:hAnsi="Times New Roman"/>
                <w:sz w:val="24"/>
                <w:szCs w:val="24"/>
                <w:lang w:val="fr-FR"/>
              </w:rPr>
              <w:t>, à forfait</w:t>
            </w:r>
            <w:r w:rsidR="00774EDB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 w:rsidR="00774EDB" w:rsidRPr="000D7088" w:rsidRDefault="009011CD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€ 25</w:t>
            </w:r>
          </w:p>
        </w:tc>
        <w:tc>
          <w:tcPr>
            <w:tcW w:w="2506" w:type="dxa"/>
            <w:vAlign w:val="center"/>
          </w:tcPr>
          <w:p w:rsidR="00774EDB" w:rsidRPr="000D7088" w:rsidRDefault="00774EDB" w:rsidP="00774EDB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0D7088" w:rsidRPr="000D7088" w:rsidTr="00F87345">
        <w:trPr>
          <w:trHeight w:val="598"/>
        </w:trPr>
        <w:tc>
          <w:tcPr>
            <w:tcW w:w="5508" w:type="dxa"/>
            <w:gridSpan w:val="2"/>
          </w:tcPr>
          <w:p w:rsidR="00774EDB" w:rsidRPr="000D7088" w:rsidRDefault="00774EDB" w:rsidP="00774EDB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774EDB" w:rsidRPr="000D7088" w:rsidRDefault="00774EDB" w:rsidP="000B3089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Acc</w:t>
            </w:r>
            <w:r w:rsidR="000B3089" w:rsidRPr="000D708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ès piétonniers et carrossables etc. provisoires, au mètre linéaire </w:t>
            </w:r>
          </w:p>
        </w:tc>
        <w:tc>
          <w:tcPr>
            <w:tcW w:w="1620" w:type="dxa"/>
            <w:gridSpan w:val="2"/>
            <w:vAlign w:val="center"/>
          </w:tcPr>
          <w:p w:rsidR="00774EDB" w:rsidRPr="000D7088" w:rsidRDefault="009011CD" w:rsidP="00774EDB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€ 0</w:t>
            </w:r>
          </w:p>
        </w:tc>
        <w:tc>
          <w:tcPr>
            <w:tcW w:w="2506" w:type="dxa"/>
            <w:vAlign w:val="center"/>
          </w:tcPr>
          <w:p w:rsidR="00774EDB" w:rsidRPr="000D7088" w:rsidRDefault="000B3089" w:rsidP="000B3089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0D7088">
              <w:rPr>
                <w:rFonts w:ascii="Times New Roman" w:hAnsi="Times New Roman"/>
                <w:sz w:val="24"/>
                <w:szCs w:val="24"/>
                <w:lang w:val="fr-FR"/>
              </w:rPr>
              <w:t>Les accès provisoires sont accordés pour une période d’un an au plus et la redevance y afférente est appliquée au titre d’une année solaire entière</w:t>
            </w:r>
          </w:p>
        </w:tc>
      </w:tr>
    </w:tbl>
    <w:p w:rsidR="00774EDB" w:rsidRPr="000D7088" w:rsidRDefault="00774EDB" w:rsidP="00774EDB">
      <w:pPr>
        <w:jc w:val="center"/>
        <w:rPr>
          <w:rFonts w:ascii="Times New Roman" w:hAnsi="Times New Roman"/>
          <w:sz w:val="24"/>
          <w:szCs w:val="24"/>
          <w:lang w:val="fr-FR"/>
        </w:rPr>
      </w:pPr>
    </w:p>
    <w:p w:rsidR="000F62FF" w:rsidRPr="000D7088" w:rsidRDefault="00774EDB" w:rsidP="00A22ACB">
      <w:pPr>
        <w:tabs>
          <w:tab w:val="left" w:pos="360"/>
        </w:tabs>
        <w:jc w:val="both"/>
        <w:rPr>
          <w:rFonts w:ascii="Times New Roman" w:hAnsi="Times New Roman"/>
          <w:sz w:val="24"/>
          <w:lang w:val="fr-FR"/>
        </w:rPr>
      </w:pPr>
      <w:r w:rsidRPr="000D7088">
        <w:rPr>
          <w:rFonts w:ascii="Times New Roman" w:hAnsi="Times New Roman"/>
          <w:sz w:val="24"/>
          <w:szCs w:val="24"/>
          <w:lang w:val="fr-FR"/>
        </w:rPr>
        <w:t>*Le</w:t>
      </w:r>
      <w:r w:rsidR="00FC1D5D" w:rsidRPr="000D7088">
        <w:rPr>
          <w:rFonts w:ascii="Times New Roman" w:hAnsi="Times New Roman"/>
          <w:sz w:val="24"/>
          <w:szCs w:val="24"/>
          <w:lang w:val="fr-FR"/>
        </w:rPr>
        <w:t>s</w:t>
      </w:r>
      <w:r w:rsidRPr="000D7088">
        <w:rPr>
          <w:rFonts w:ascii="Times New Roman" w:hAnsi="Times New Roman"/>
          <w:sz w:val="24"/>
          <w:szCs w:val="24"/>
          <w:lang w:val="fr-FR"/>
        </w:rPr>
        <w:t xml:space="preserve"> somme</w:t>
      </w:r>
      <w:r w:rsidR="00FC1D5D" w:rsidRPr="000D7088">
        <w:rPr>
          <w:rFonts w:ascii="Times New Roman" w:hAnsi="Times New Roman"/>
          <w:sz w:val="24"/>
          <w:szCs w:val="24"/>
          <w:lang w:val="fr-FR"/>
        </w:rPr>
        <w:t>s</w:t>
      </w:r>
      <w:r w:rsidRPr="000D7088">
        <w:rPr>
          <w:rFonts w:ascii="Times New Roman" w:hAnsi="Times New Roman"/>
          <w:sz w:val="24"/>
          <w:szCs w:val="24"/>
          <w:lang w:val="fr-FR"/>
        </w:rPr>
        <w:t xml:space="preserve"> indi</w:t>
      </w:r>
      <w:r w:rsidR="00FC1D5D" w:rsidRPr="000D7088">
        <w:rPr>
          <w:rFonts w:ascii="Times New Roman" w:hAnsi="Times New Roman"/>
          <w:sz w:val="24"/>
          <w:szCs w:val="24"/>
          <w:lang w:val="fr-FR"/>
        </w:rPr>
        <w:t>quées se rapportent à la durée tout entière de la concession ou de l’autorisation</w:t>
      </w:r>
      <w:r w:rsidRPr="000D7088">
        <w:rPr>
          <w:rFonts w:ascii="Times New Roman" w:hAnsi="Times New Roman"/>
          <w:sz w:val="24"/>
          <w:szCs w:val="24"/>
          <w:lang w:val="fr-FR"/>
        </w:rPr>
        <w:t>.</w:t>
      </w:r>
    </w:p>
    <w:sectPr w:rsidR="000F62FF" w:rsidRPr="000D7088" w:rsidSect="000D7088">
      <w:footerReference w:type="default" r:id="rId7"/>
      <w:pgSz w:w="11907" w:h="16840" w:code="9"/>
      <w:pgMar w:top="709" w:right="1134" w:bottom="1134" w:left="1134" w:header="397" w:footer="51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622" w:rsidRDefault="00D50622">
      <w:r>
        <w:separator/>
      </w:r>
    </w:p>
  </w:endnote>
  <w:endnote w:type="continuationSeparator" w:id="0">
    <w:p w:rsidR="00D50622" w:rsidRDefault="00D5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Schbook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A2B" w:rsidRPr="00762396" w:rsidRDefault="000A7A2B">
    <w:pPr>
      <w:pStyle w:val="Pidipagina"/>
      <w:jc w:val="right"/>
    </w:pPr>
    <w:r w:rsidRPr="00762396">
      <w:fldChar w:fldCharType="begin"/>
    </w:r>
    <w:r w:rsidRPr="00762396">
      <w:instrText>PAGE   \* MERGEFORMAT</w:instrText>
    </w:r>
    <w:r w:rsidRPr="00762396">
      <w:fldChar w:fldCharType="separate"/>
    </w:r>
    <w:r w:rsidR="000D7088">
      <w:rPr>
        <w:noProof/>
      </w:rPr>
      <w:t>2</w:t>
    </w:r>
    <w:r w:rsidRPr="00762396">
      <w:fldChar w:fldCharType="end"/>
    </w:r>
  </w:p>
  <w:p w:rsidR="000A7A2B" w:rsidRDefault="000A7A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622" w:rsidRDefault="00D50622">
      <w:r>
        <w:separator/>
      </w:r>
    </w:p>
  </w:footnote>
  <w:footnote w:type="continuationSeparator" w:id="0">
    <w:p w:rsidR="00D50622" w:rsidRDefault="00D50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90C84"/>
    <w:multiLevelType w:val="hybridMultilevel"/>
    <w:tmpl w:val="9566E1E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C3482"/>
    <w:multiLevelType w:val="hybridMultilevel"/>
    <w:tmpl w:val="819A7F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38449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197397"/>
    <w:multiLevelType w:val="hybridMultilevel"/>
    <w:tmpl w:val="EF588F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DB"/>
    <w:rsid w:val="00034B7A"/>
    <w:rsid w:val="000A7A2B"/>
    <w:rsid w:val="000B3089"/>
    <w:rsid w:val="000D7088"/>
    <w:rsid w:val="000F62FF"/>
    <w:rsid w:val="001326CF"/>
    <w:rsid w:val="00133155"/>
    <w:rsid w:val="00167F2B"/>
    <w:rsid w:val="00250250"/>
    <w:rsid w:val="00304B4F"/>
    <w:rsid w:val="003A6165"/>
    <w:rsid w:val="00481DCF"/>
    <w:rsid w:val="00494ACF"/>
    <w:rsid w:val="00504C47"/>
    <w:rsid w:val="00576403"/>
    <w:rsid w:val="00592C46"/>
    <w:rsid w:val="00594622"/>
    <w:rsid w:val="005D1CBB"/>
    <w:rsid w:val="005F322C"/>
    <w:rsid w:val="00647F9C"/>
    <w:rsid w:val="0070174E"/>
    <w:rsid w:val="00774EDB"/>
    <w:rsid w:val="007D0866"/>
    <w:rsid w:val="007F364D"/>
    <w:rsid w:val="007F7DEC"/>
    <w:rsid w:val="00826561"/>
    <w:rsid w:val="008947DF"/>
    <w:rsid w:val="008C7D9C"/>
    <w:rsid w:val="009011CD"/>
    <w:rsid w:val="00985B24"/>
    <w:rsid w:val="0099799A"/>
    <w:rsid w:val="009A25E4"/>
    <w:rsid w:val="009B3E76"/>
    <w:rsid w:val="009C3C82"/>
    <w:rsid w:val="009E19D2"/>
    <w:rsid w:val="00A13859"/>
    <w:rsid w:val="00A20F94"/>
    <w:rsid w:val="00A22ACB"/>
    <w:rsid w:val="00A9262C"/>
    <w:rsid w:val="00B72655"/>
    <w:rsid w:val="00BE1356"/>
    <w:rsid w:val="00BE216C"/>
    <w:rsid w:val="00C11E96"/>
    <w:rsid w:val="00C4062A"/>
    <w:rsid w:val="00C47A9F"/>
    <w:rsid w:val="00C52064"/>
    <w:rsid w:val="00C6369B"/>
    <w:rsid w:val="00CB7BDB"/>
    <w:rsid w:val="00CE4477"/>
    <w:rsid w:val="00D03CB2"/>
    <w:rsid w:val="00D50622"/>
    <w:rsid w:val="00DA18D4"/>
    <w:rsid w:val="00DC54BC"/>
    <w:rsid w:val="00DE5877"/>
    <w:rsid w:val="00E12FCA"/>
    <w:rsid w:val="00E24E61"/>
    <w:rsid w:val="00F87345"/>
    <w:rsid w:val="00FC1D5D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33C9A2-984A-4847-AFEC-536B6FD8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Palatino" w:hAnsi="Palatin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l">
    <w:name w:val="dl"/>
    <w:basedOn w:val="Normale"/>
    <w:pPr>
      <w:ind w:left="426" w:right="3401" w:hanging="426"/>
      <w:jc w:val="both"/>
    </w:pPr>
    <w:rPr>
      <w:rFonts w:ascii="CentSchbook BT" w:hAnsi="CentSchbook BT"/>
      <w:sz w:val="24"/>
    </w:rPr>
  </w:style>
  <w:style w:type="paragraph" w:customStyle="1" w:styleId="lett">
    <w:name w:val="lett."/>
    <w:basedOn w:val="Normale"/>
    <w:pPr>
      <w:ind w:left="851" w:right="3401" w:hanging="425"/>
      <w:jc w:val="both"/>
    </w:pPr>
    <w:rPr>
      <w:rFonts w:ascii="CentSchbook BT" w:hAnsi="CentSchbook BT"/>
      <w:sz w:val="24"/>
    </w:rPr>
  </w:style>
  <w:style w:type="paragraph" w:customStyle="1" w:styleId="relaz">
    <w:name w:val="relaz"/>
    <w:basedOn w:val="Normale"/>
    <w:autoRedefine/>
    <w:pPr>
      <w:ind w:right="-72" w:firstLine="284"/>
      <w:jc w:val="both"/>
    </w:pPr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774EDB"/>
    <w:pPr>
      <w:tabs>
        <w:tab w:val="center" w:pos="4819"/>
        <w:tab w:val="right" w:pos="9638"/>
      </w:tabs>
    </w:pPr>
    <w:rPr>
      <w:rFonts w:ascii="Times New Roman" w:hAnsi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4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INVA S.p.a.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eglavinaz</dc:creator>
  <cp:lastModifiedBy>Salvatore LEO</cp:lastModifiedBy>
  <cp:revision>11</cp:revision>
  <dcterms:created xsi:type="dcterms:W3CDTF">2022-11-22T12:47:00Z</dcterms:created>
  <dcterms:modified xsi:type="dcterms:W3CDTF">2022-12-06T10:18:00Z</dcterms:modified>
</cp:coreProperties>
</file>