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6A" w:rsidRPr="006929FA" w:rsidRDefault="003A6BA3" w:rsidP="003A6BA3">
      <w:pPr>
        <w:pStyle w:val="Titre1"/>
        <w:spacing w:before="54"/>
        <w:ind w:left="4253"/>
        <w:jc w:val="center"/>
        <w:rPr>
          <w:rFonts w:cs="Times New Roman"/>
          <w:b w:val="0"/>
          <w:bCs w:val="0"/>
          <w:lang w:val="fr-FR"/>
        </w:rPr>
      </w:pPr>
      <w:r w:rsidRPr="006929FA">
        <w:rPr>
          <w:rFonts w:cs="Times New Roman"/>
          <w:lang w:val="fr-FR"/>
        </w:rPr>
        <w:t xml:space="preserve">BUDGET PRÉVISIONNEL ÉQUILIBRES </w:t>
      </w:r>
      <w:r w:rsidR="00343CD2" w:rsidRPr="006929FA">
        <w:rPr>
          <w:rFonts w:cs="Times New Roman"/>
          <w:lang w:val="fr-FR"/>
        </w:rPr>
        <w:t xml:space="preserve">DU </w:t>
      </w:r>
      <w:r w:rsidRPr="006929FA">
        <w:rPr>
          <w:rFonts w:cs="Times New Roman"/>
          <w:lang w:val="fr-FR"/>
        </w:rPr>
        <w:t>BUDG</w:t>
      </w:r>
      <w:r w:rsidR="00343CD2" w:rsidRPr="006929FA">
        <w:rPr>
          <w:rFonts w:cs="Times New Roman"/>
          <w:lang w:val="fr-FR"/>
        </w:rPr>
        <w:t>ET</w:t>
      </w:r>
    </w:p>
    <w:p w:rsidR="0057226A" w:rsidRPr="006929FA" w:rsidRDefault="003A6BA3" w:rsidP="003A6BA3">
      <w:pPr>
        <w:ind w:left="4253" w:right="66"/>
        <w:jc w:val="center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6929FA">
        <w:rPr>
          <w:rFonts w:ascii="Times New Roman" w:hAnsi="Times New Roman" w:cs="Times New Roman"/>
          <w:b/>
          <w:sz w:val="16"/>
          <w:lang w:val="fr-FR"/>
        </w:rPr>
        <w:t>(uniquement pour les Régions)* 2022-2023-2024</w:t>
      </w:r>
    </w:p>
    <w:p w:rsidR="0057226A" w:rsidRPr="006929FA" w:rsidRDefault="003A6BA3">
      <w:pPr>
        <w:spacing w:before="90"/>
        <w:ind w:right="301"/>
        <w:jc w:val="right"/>
        <w:rPr>
          <w:rFonts w:ascii="Times New Roman" w:eastAsia="Palatino Linotype" w:hAnsi="Times New Roman" w:cs="Times New Roman"/>
          <w:sz w:val="24"/>
          <w:szCs w:val="24"/>
          <w:lang w:val="fr-FR"/>
        </w:rPr>
      </w:pPr>
      <w:r w:rsidRPr="006929FA">
        <w:rPr>
          <w:rFonts w:ascii="Times New Roman" w:hAnsi="Times New Roman" w:cs="Times New Roman"/>
          <w:w w:val="95"/>
          <w:lang w:val="fr-FR"/>
        </w:rPr>
        <w:br w:type="column"/>
      </w:r>
      <w:r w:rsidRPr="006929FA">
        <w:rPr>
          <w:rFonts w:ascii="Times New Roman" w:hAnsi="Times New Roman" w:cs="Times New Roman"/>
          <w:i/>
          <w:w w:val="95"/>
          <w:sz w:val="24"/>
          <w:lang w:val="fr-FR"/>
        </w:rPr>
        <w:lastRenderedPageBreak/>
        <w:t>Annexe</w:t>
      </w:r>
      <w:r w:rsidRPr="006929FA">
        <w:rPr>
          <w:rFonts w:ascii="Times New Roman" w:hAnsi="Times New Roman" w:cs="Times New Roman"/>
          <w:i/>
          <w:spacing w:val="2"/>
          <w:w w:val="95"/>
          <w:sz w:val="24"/>
          <w:lang w:val="fr-FR"/>
        </w:rPr>
        <w:t xml:space="preserve"> </w:t>
      </w:r>
      <w:r w:rsidRPr="006929FA">
        <w:rPr>
          <w:rFonts w:ascii="Times New Roman" w:hAnsi="Times New Roman" w:cs="Times New Roman"/>
          <w:i/>
          <w:w w:val="95"/>
          <w:sz w:val="24"/>
          <w:lang w:val="fr-FR"/>
        </w:rPr>
        <w:t>i)</w:t>
      </w:r>
    </w:p>
    <w:p w:rsidR="0057226A" w:rsidRPr="006929FA" w:rsidRDefault="0057226A">
      <w:pPr>
        <w:jc w:val="right"/>
        <w:rPr>
          <w:rFonts w:ascii="Times New Roman" w:eastAsia="Palatino Linotype" w:hAnsi="Times New Roman" w:cs="Times New Roman"/>
          <w:sz w:val="24"/>
          <w:szCs w:val="24"/>
          <w:lang w:val="fr-FR"/>
        </w:rPr>
        <w:sectPr w:rsidR="0057226A" w:rsidRPr="006929FA" w:rsidSect="003A6BA3">
          <w:footerReference w:type="default" r:id="rId8"/>
          <w:type w:val="continuous"/>
          <w:pgSz w:w="11910" w:h="16840"/>
          <w:pgMar w:top="300" w:right="260" w:bottom="320" w:left="260" w:header="720" w:footer="127" w:gutter="0"/>
          <w:pgNumType w:start="1"/>
          <w:cols w:num="2" w:space="720" w:equalWidth="0">
            <w:col w:w="6729" w:space="382"/>
            <w:col w:w="4279"/>
          </w:cols>
        </w:sectPr>
      </w:pPr>
    </w:p>
    <w:p w:rsidR="0057226A" w:rsidRPr="006929FA" w:rsidRDefault="0057226A">
      <w:pPr>
        <w:spacing w:before="11"/>
        <w:rPr>
          <w:rFonts w:ascii="Times New Roman" w:eastAsia="Palatino Linotype" w:hAnsi="Times New Roman" w:cs="Times New Roman"/>
          <w:i/>
          <w:sz w:val="12"/>
          <w:szCs w:val="12"/>
          <w:lang w:val="fr-FR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920"/>
        <w:gridCol w:w="750"/>
        <w:gridCol w:w="1500"/>
        <w:gridCol w:w="1500"/>
        <w:gridCol w:w="1470"/>
      </w:tblGrid>
      <w:tr w:rsidR="0057226A" w:rsidRPr="006929FA" w:rsidTr="003A6BA3">
        <w:trPr>
          <w:trHeight w:hRule="exact" w:val="634"/>
        </w:trPr>
        <w:tc>
          <w:tcPr>
            <w:tcW w:w="59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57226A">
            <w:pPr>
              <w:pStyle w:val="TableParagraph"/>
              <w:rPr>
                <w:rFonts w:ascii="Times New Roman" w:eastAsia="Palatino Linotype" w:hAnsi="Times New Roman" w:cs="Times New Roman"/>
                <w:i/>
                <w:sz w:val="8"/>
                <w:szCs w:val="8"/>
                <w:lang w:val="fr-FR"/>
              </w:rPr>
            </w:pPr>
          </w:p>
          <w:p w:rsidR="0057226A" w:rsidRPr="006929FA" w:rsidRDefault="003A6BA3" w:rsidP="00343CD2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ÉQUILIBRES </w:t>
            </w:r>
            <w:r w:rsidR="00343CD2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DU 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BUDG</w:t>
            </w:r>
            <w:r w:rsidR="00343CD2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ET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BA3" w:rsidRPr="006929FA" w:rsidRDefault="003A6BA3" w:rsidP="003A6BA3">
            <w:pPr>
              <w:pStyle w:val="TableParagraph"/>
              <w:spacing w:before="39"/>
              <w:ind w:left="58" w:right="24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COMPTABILITÉ D’EXERCICE </w:t>
            </w:r>
          </w:p>
          <w:p w:rsidR="0057226A" w:rsidRPr="006929FA" w:rsidRDefault="003A6BA3" w:rsidP="003A6BA3">
            <w:pPr>
              <w:pStyle w:val="TableParagraph"/>
              <w:spacing w:before="39"/>
              <w:ind w:left="58" w:right="2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BA3" w:rsidRPr="006929FA" w:rsidRDefault="003A6BA3" w:rsidP="001456E8">
            <w:pPr>
              <w:pStyle w:val="TableParagraph"/>
              <w:spacing w:before="39"/>
              <w:ind w:left="58" w:right="24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57226A" w:rsidRPr="006929FA" w:rsidRDefault="003A6BA3" w:rsidP="001456E8">
            <w:pPr>
              <w:pStyle w:val="TableParagraph"/>
              <w:spacing w:before="39"/>
              <w:ind w:left="626" w:right="130" w:hanging="5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ANNÉE 2023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3A6BA3" w:rsidRPr="006929FA" w:rsidRDefault="003A6BA3" w:rsidP="001456E8">
            <w:pPr>
              <w:pStyle w:val="TableParagraph"/>
              <w:spacing w:before="39"/>
              <w:ind w:left="58" w:right="24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57226A" w:rsidRPr="006929FA" w:rsidRDefault="003A6BA3" w:rsidP="001456E8">
            <w:pPr>
              <w:pStyle w:val="TableParagraph"/>
              <w:spacing w:before="39"/>
              <w:ind w:left="603" w:right="107" w:hanging="5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ANNÉE 2024</w:t>
            </w:r>
          </w:p>
        </w:tc>
      </w:tr>
      <w:tr w:rsidR="0057226A" w:rsidRPr="006929FA">
        <w:trPr>
          <w:trHeight w:hRule="exact" w:val="192"/>
        </w:trPr>
        <w:tc>
          <w:tcPr>
            <w:tcW w:w="5920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3A6BA3" w:rsidP="00496BA2">
            <w:pPr>
              <w:pStyle w:val="TableParagraph"/>
              <w:spacing w:before="22"/>
              <w:ind w:left="23"/>
              <w:rPr>
                <w:rFonts w:ascii="Times New Roman" w:eastAsia="Times New Roman" w:hAnsi="Times New Roman" w:cs="Times New Roman"/>
                <w:sz w:val="9"/>
                <w:szCs w:val="9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Utili</w:t>
            </w:r>
            <w:r w:rsidR="00EB3D67" w:rsidRPr="006929FA">
              <w:rPr>
                <w:rFonts w:ascii="Times New Roman" w:hAnsi="Times New Roman" w:cs="Times New Roman"/>
                <w:sz w:val="12"/>
                <w:lang w:val="fr-FR"/>
              </w:rPr>
              <w:t>sation de l’excédent présum</w:t>
            </w:r>
            <w:r w:rsidR="00496BA2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é </w:t>
            </w:r>
            <w:r w:rsidR="00EB3D67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pour le financement de dépenses ordinaires 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="00EB3D67" w:rsidRPr="006929FA">
              <w:rPr>
                <w:rFonts w:ascii="Times New Roman" w:hAnsi="Times New Roman" w:cs="Times New Roman"/>
                <w:sz w:val="12"/>
                <w:lang w:val="fr-FR"/>
              </w:rPr>
              <w:t>et le remboursement de prêts</w:t>
            </w:r>
            <w:r w:rsidRPr="006929FA">
              <w:rPr>
                <w:rFonts w:ascii="Times New Roman" w:hAnsi="Times New Roman" w:cs="Times New Roman"/>
                <w:spacing w:val="-1"/>
                <w:sz w:val="12"/>
                <w:lang w:val="fr-FR"/>
              </w:rPr>
              <w:t xml:space="preserve"> </w:t>
            </w:r>
            <w:r w:rsidRPr="006929FA">
              <w:rPr>
                <w:rFonts w:ascii="Times New Roman" w:hAnsi="Times New Roman" w:cs="Times New Roman"/>
                <w:position w:val="3"/>
                <w:sz w:val="9"/>
                <w:lang w:val="fr-FR"/>
              </w:rPr>
              <w:t>(**)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4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4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89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368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540,54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2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76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3D0935" w:rsidP="00281D5A">
            <w:pPr>
              <w:pStyle w:val="TableParagraph"/>
              <w:spacing w:before="12"/>
              <w:ind w:left="23"/>
              <w:rPr>
                <w:rFonts w:ascii="Times New Roman" w:eastAsia="Times New Roman" w:hAnsi="Times New Roman" w:cs="Times New Roman"/>
                <w:sz w:val="9"/>
                <w:szCs w:val="9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Couverture du déficit présumé de l’exercice précédent </w:t>
            </w:r>
            <w:r w:rsidR="003A6BA3" w:rsidRPr="006929FA">
              <w:rPr>
                <w:rFonts w:ascii="Times New Roman" w:hAnsi="Times New Roman" w:cs="Times New Roman"/>
                <w:position w:val="3"/>
                <w:sz w:val="9"/>
                <w:lang w:val="fr-FR"/>
              </w:rPr>
              <w:t>(1)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(-)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74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3A6BA3" w:rsidP="00496BA2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Fond</w:t>
            </w:r>
            <w:r w:rsidR="00CC5FA6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s pluriannuel à affectation obligatoire pour les dépenses ordinaires 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="00CC5FA6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inscrit </w:t>
            </w:r>
            <w:r w:rsidR="00496BA2" w:rsidRPr="006929FA">
              <w:rPr>
                <w:rFonts w:ascii="Times New Roman" w:hAnsi="Times New Roman" w:cs="Times New Roman"/>
                <w:sz w:val="12"/>
                <w:lang w:val="fr-FR"/>
              </w:rPr>
              <w:t>au titre des</w:t>
            </w:r>
            <w:r w:rsidR="00CC5FA6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recettes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33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722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556,90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8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9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734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191,04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430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959,46</w:t>
            </w:r>
          </w:p>
        </w:tc>
      </w:tr>
      <w:tr w:rsidR="0057226A" w:rsidRPr="006929FA">
        <w:trPr>
          <w:trHeight w:hRule="exact" w:val="174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6C546D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Recettes titres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1-2-3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62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356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787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965,83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62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338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519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184,04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58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310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617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000,50</w:t>
            </w:r>
          </w:p>
        </w:tc>
      </w:tr>
      <w:tr w:rsidR="00965AF1" w:rsidRPr="006929FA" w:rsidTr="001E7793">
        <w:trPr>
          <w:trHeight w:val="404"/>
        </w:trPr>
        <w:tc>
          <w:tcPr>
            <w:tcW w:w="5920" w:type="dxa"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 w:rsidR="00965AF1" w:rsidRPr="006929FA" w:rsidRDefault="00965AF1" w:rsidP="0011008F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Recettes en capital  pour les aides aux investissements directement destinées  au remboursement de prêts accordés par des</w:t>
            </w:r>
          </w:p>
          <w:p w:rsidR="00965AF1" w:rsidRPr="006929FA" w:rsidRDefault="00965AF1" w:rsidP="001E7793">
            <w:pPr>
              <w:pStyle w:val="TableParagraph"/>
              <w:spacing w:line="132" w:lineRule="exact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Administration publiques</w:t>
            </w:r>
            <w:r w:rsidRPr="006929FA">
              <w:rPr>
                <w:rFonts w:ascii="Times New Roman" w:hAnsi="Times New Roman" w:cs="Times New Roman"/>
                <w:spacing w:val="-1"/>
                <w:sz w:val="12"/>
                <w:lang w:val="fr-FR"/>
              </w:rPr>
              <w:t xml:space="preserve"> </w:t>
            </w:r>
            <w:r w:rsidRPr="006929FA">
              <w:rPr>
                <w:rFonts w:ascii="Times New Roman" w:hAnsi="Times New Roman" w:cs="Times New Roman"/>
                <w:position w:val="3"/>
                <w:sz w:val="9"/>
                <w:lang w:val="fr-FR"/>
              </w:rPr>
              <w:t>(2)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65AF1" w:rsidRPr="006929FA" w:rsidRDefault="00965AF1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65AF1" w:rsidRPr="006929FA" w:rsidRDefault="00965AF1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65AF1" w:rsidRPr="006929FA" w:rsidRDefault="00965AF1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:rsidR="00965AF1" w:rsidRPr="006929FA" w:rsidRDefault="00965AF1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71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6C546D" w:rsidP="00A809FE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Recettes Titre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4</w:t>
            </w:r>
            <w:r w:rsidR="00A809FE" w:rsidRPr="006929FA">
              <w:rPr>
                <w:rFonts w:ascii="Times New Roman" w:hAnsi="Times New Roman" w:cs="Times New Roman"/>
                <w:sz w:val="12"/>
                <w:lang w:val="fr-FR"/>
              </w:rPr>
              <w:t>.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03 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–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A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utres virements en capital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28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916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103,80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10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618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817,26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9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52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500</w:t>
            </w:r>
          </w:p>
        </w:tc>
      </w:tr>
      <w:tr w:rsidR="0057226A" w:rsidRPr="006929FA">
        <w:trPr>
          <w:trHeight w:hRule="exact" w:val="176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6C546D" w:rsidP="00CC17A0">
            <w:pPr>
              <w:pStyle w:val="TableParagraph"/>
              <w:spacing w:before="12"/>
              <w:ind w:left="23"/>
              <w:rPr>
                <w:rFonts w:ascii="Times New Roman" w:eastAsia="Times New Roman" w:hAnsi="Times New Roman" w:cs="Times New Roman"/>
                <w:sz w:val="9"/>
                <w:szCs w:val="9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Recettes en capital</w:t>
            </w:r>
            <w:r w:rsidR="00CC17A0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destinées au remboursement anticipé de prêts </w:t>
            </w:r>
            <w:r w:rsidR="003A6BA3" w:rsidRPr="006929FA">
              <w:rPr>
                <w:rFonts w:ascii="Times New Roman" w:hAnsi="Times New Roman" w:cs="Times New Roman"/>
                <w:position w:val="3"/>
                <w:sz w:val="9"/>
                <w:lang w:val="fr-FR"/>
              </w:rPr>
              <w:t>(3)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74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6C546D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Recettes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="003D0935" w:rsidRPr="006929FA">
              <w:rPr>
                <w:rFonts w:ascii="Times New Roman" w:hAnsi="Times New Roman" w:cs="Times New Roman"/>
                <w:sz w:val="12"/>
                <w:lang w:val="fr-FR"/>
              </w:rPr>
              <w:t>pour la souscription de prêts destinées au remboursement anticipé de prêts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 w:rsidTr="003D0935">
        <w:trPr>
          <w:trHeight w:val="315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CC5FA6" w:rsidP="00A809FE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Recettes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="00123FE0" w:rsidRPr="006929FA">
              <w:rPr>
                <w:rFonts w:ascii="Times New Roman" w:hAnsi="Times New Roman" w:cs="Times New Roman"/>
                <w:sz w:val="12"/>
                <w:lang w:val="fr-FR"/>
              </w:rPr>
              <w:t>en capital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="003D0935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destinées </w:t>
            </w:r>
            <w:r w:rsidR="00A809FE" w:rsidRPr="006929FA">
              <w:rPr>
                <w:rFonts w:ascii="Times New Roman" w:hAnsi="Times New Roman" w:cs="Times New Roman"/>
                <w:sz w:val="12"/>
                <w:lang w:val="fr-FR"/>
              </w:rPr>
              <w:t>à financer les</w:t>
            </w:r>
            <w:r w:rsidR="003D0935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dép</w:t>
            </w:r>
            <w:r w:rsidR="00123FE0" w:rsidRPr="006929FA">
              <w:rPr>
                <w:rFonts w:ascii="Times New Roman" w:hAnsi="Times New Roman" w:cs="Times New Roman"/>
                <w:sz w:val="12"/>
                <w:lang w:val="fr-FR"/>
              </w:rPr>
              <w:t>enses ordinaires sur la base de</w:t>
            </w:r>
            <w:r w:rsidR="003D0935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dispositions législatives spéciales ou des principes comptables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73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6C546D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(-)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62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339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586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619,81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62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208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451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509,64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58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183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441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526,76</w:t>
            </w:r>
          </w:p>
        </w:tc>
      </w:tr>
      <w:tr w:rsidR="0057226A" w:rsidRPr="006929FA">
        <w:trPr>
          <w:trHeight w:hRule="exact" w:val="173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3A6BA3" w:rsidP="0011008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- </w:t>
            </w:r>
            <w:r w:rsidR="0011008F"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fonds pluriannuel à affectation obligatoire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0"/>
              <w:ind w:left="8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9</w:t>
            </w:r>
            <w:r w:rsidR="001456E8"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734</w:t>
            </w:r>
            <w:r w:rsidR="001456E8"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191,04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0"/>
              <w:ind w:left="8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1</w:t>
            </w:r>
            <w:r w:rsidR="001456E8"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430</w:t>
            </w:r>
            <w:r w:rsidR="001456E8"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959,46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0"/>
              <w:ind w:left="88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407</w:t>
            </w:r>
            <w:r w:rsidR="001456E8"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338,14</w:t>
            </w:r>
          </w:p>
        </w:tc>
      </w:tr>
      <w:tr w:rsidR="0057226A" w:rsidRPr="006929FA">
        <w:trPr>
          <w:trHeight w:hRule="exact" w:val="171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6C546D" w:rsidP="001E7793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Dépenses titre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  <w:r w:rsidR="001E7793" w:rsidRPr="006929FA">
              <w:rPr>
                <w:rFonts w:ascii="Times New Roman" w:hAnsi="Times New Roman" w:cs="Times New Roman"/>
                <w:sz w:val="12"/>
                <w:lang w:val="fr-FR"/>
              </w:rPr>
              <w:t>.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04 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–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A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utres virements en capital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(-)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856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159,97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8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6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534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140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6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066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640</w:t>
            </w:r>
          </w:p>
        </w:tc>
      </w:tr>
      <w:tr w:rsidR="0057226A" w:rsidRPr="006929FA">
        <w:trPr>
          <w:trHeight w:hRule="exact" w:val="176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D057EF" w:rsidP="00370D96">
            <w:pPr>
              <w:pStyle w:val="TableParagraph"/>
              <w:spacing w:before="12"/>
              <w:ind w:left="23"/>
              <w:rPr>
                <w:rFonts w:ascii="Times New Roman" w:eastAsia="Times New Roman" w:hAnsi="Times New Roman" w:cs="Times New Roman"/>
                <w:sz w:val="9"/>
                <w:szCs w:val="9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Rectifications </w:t>
            </w:r>
            <w:r w:rsidRPr="006929FA">
              <w:rPr>
                <w:rFonts w:ascii="Times New Roman" w:hAnsi="Times New Roman" w:cs="Times New Roman"/>
                <w:sz w:val="12"/>
                <w:highlight w:val="cyan"/>
                <w:lang w:val="fr-FR"/>
              </w:rPr>
              <w:t>d</w:t>
            </w:r>
            <w:r w:rsidR="00370D96" w:rsidRPr="006929FA">
              <w:rPr>
                <w:rFonts w:ascii="Times New Roman" w:hAnsi="Times New Roman" w:cs="Times New Roman"/>
                <w:sz w:val="12"/>
                <w:highlight w:val="cyan"/>
                <w:lang w:val="fr-FR"/>
              </w:rPr>
              <w:t xml:space="preserve">es produits des </w:t>
            </w:r>
            <w:r w:rsidRPr="006929FA">
              <w:rPr>
                <w:rFonts w:ascii="Times New Roman" w:hAnsi="Times New Roman" w:cs="Times New Roman"/>
                <w:sz w:val="12"/>
                <w:highlight w:val="cyan"/>
                <w:lang w:val="fr-FR"/>
              </w:rPr>
              <w:t>activités financière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s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(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si le résultat est négatif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>)</w:t>
            </w:r>
            <w:r w:rsidR="003A6BA3" w:rsidRPr="006929FA">
              <w:rPr>
                <w:rFonts w:ascii="Times New Roman" w:hAnsi="Times New Roman" w:cs="Times New Roman"/>
                <w:spacing w:val="-1"/>
                <w:sz w:val="12"/>
                <w:lang w:val="fr-FR"/>
              </w:rPr>
              <w:t xml:space="preserve"> </w:t>
            </w:r>
            <w:r w:rsidR="003A6BA3" w:rsidRPr="006929FA">
              <w:rPr>
                <w:rFonts w:ascii="Times New Roman" w:hAnsi="Times New Roman" w:cs="Times New Roman"/>
                <w:position w:val="3"/>
                <w:sz w:val="9"/>
                <w:lang w:val="fr-FR"/>
              </w:rPr>
              <w:t>(4)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(-)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73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3A6BA3" w:rsidP="00106EDD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</w:t>
            </w:r>
            <w:r w:rsidR="00106EDD" w:rsidRPr="006929FA">
              <w:rPr>
                <w:rFonts w:ascii="Times New Roman" w:hAnsi="Times New Roman" w:cs="Times New Roman"/>
                <w:sz w:val="12"/>
                <w:lang w:val="fr-FR"/>
              </w:rPr>
              <w:t>emboursement de prêts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(-)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14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768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339,14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14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769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039,14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14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769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739,14</w:t>
            </w:r>
          </w:p>
        </w:tc>
      </w:tr>
      <w:tr w:rsidR="0057226A" w:rsidRPr="006929FA">
        <w:trPr>
          <w:trHeight w:hRule="exact" w:val="172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- </w:t>
            </w:r>
            <w:r w:rsidR="00F7283A">
              <w:rPr>
                <w:rFonts w:ascii="Times New Roman" w:hAnsi="Times New Roman" w:cs="Times New Roman"/>
                <w:i/>
                <w:sz w:val="12"/>
                <w:lang w:val="fr-FR"/>
              </w:rPr>
              <w:t>F</w:t>
            </w:r>
            <w:r w:rsidR="00620BDE"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onds pour les avances de liquidités</w:t>
            </w:r>
          </w:p>
        </w:tc>
        <w:tc>
          <w:tcPr>
            <w:tcW w:w="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0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0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0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67"/>
        </w:trPr>
        <w:tc>
          <w:tcPr>
            <w:tcW w:w="592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 w:rsidP="0011008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0" w:name="161"/>
            <w:bookmarkEnd w:id="0"/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- </w:t>
            </w:r>
            <w:r w:rsidR="0011008F"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pour le remboursement anticipé des prêts</w:t>
            </w:r>
          </w:p>
        </w:tc>
        <w:tc>
          <w:tcPr>
            <w:tcW w:w="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0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0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0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233"/>
        </w:trPr>
        <w:tc>
          <w:tcPr>
            <w:tcW w:w="5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 w:rsidP="005E4221">
            <w:pPr>
              <w:pStyle w:val="TableParagraph"/>
              <w:spacing w:before="49"/>
              <w:ind w:right="3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A) </w:t>
            </w:r>
            <w:r w:rsidR="00620BDE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Équili</w:t>
            </w:r>
            <w:r w:rsidR="00620BDE" w:rsidRPr="006929FA">
              <w:rPr>
                <w:rFonts w:ascii="Times New Roman" w:hAnsi="Times New Roman" w:cs="Times New Roman"/>
                <w:b/>
                <w:color w:val="000000" w:themeColor="text1"/>
                <w:sz w:val="12"/>
                <w:lang w:val="fr-FR"/>
              </w:rPr>
              <w:t xml:space="preserve">bre </w:t>
            </w:r>
            <w:r w:rsidR="005E4221" w:rsidRPr="006929FA">
              <w:rPr>
                <w:rFonts w:ascii="Times New Roman" w:hAnsi="Times New Roman" w:cs="Times New Roman"/>
                <w:b/>
                <w:color w:val="000000" w:themeColor="text1"/>
                <w:sz w:val="12"/>
                <w:highlight w:val="cyan"/>
                <w:lang w:val="fr-FR"/>
              </w:rPr>
              <w:t>des recettes et des dépenses</w:t>
            </w:r>
            <w:r w:rsidR="00620BDE" w:rsidRPr="006929FA">
              <w:rPr>
                <w:rFonts w:ascii="Times New Roman" w:hAnsi="Times New Roman" w:cs="Times New Roman"/>
                <w:b/>
                <w:color w:val="000000" w:themeColor="text1"/>
                <w:sz w:val="12"/>
                <w:highlight w:val="cyan"/>
                <w:lang w:val="fr-FR"/>
              </w:rPr>
              <w:t xml:space="preserve"> ordinaire</w:t>
            </w:r>
            <w:r w:rsidR="005E4221" w:rsidRPr="006929FA">
              <w:rPr>
                <w:rFonts w:ascii="Times New Roman" w:hAnsi="Times New Roman" w:cs="Times New Roman"/>
                <w:b/>
                <w:color w:val="000000" w:themeColor="text1"/>
                <w:sz w:val="12"/>
                <w:highlight w:val="cyan"/>
                <w:lang w:val="fr-FR"/>
              </w:rPr>
              <w:t>s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left="71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135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584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048,15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left="71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129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117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503,56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left="67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107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822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554,06</w:t>
            </w:r>
          </w:p>
        </w:tc>
      </w:tr>
      <w:tr w:rsidR="0057226A" w:rsidRPr="006929FA">
        <w:trPr>
          <w:trHeight w:hRule="exact" w:val="195"/>
        </w:trPr>
        <w:tc>
          <w:tcPr>
            <w:tcW w:w="5920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6C546D" w:rsidP="006C546D">
            <w:pPr>
              <w:pStyle w:val="TableParagraph"/>
              <w:spacing w:before="22"/>
              <w:ind w:left="23"/>
              <w:rPr>
                <w:rFonts w:ascii="Times New Roman" w:eastAsia="Times New Roman" w:hAnsi="Times New Roman" w:cs="Times New Roman"/>
                <w:sz w:val="9"/>
                <w:szCs w:val="9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Utilisation de l’excédent présumé 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pour le financement de dépenses d’investissement</w:t>
            </w:r>
            <w:r w:rsidR="003A6BA3" w:rsidRPr="006929FA">
              <w:rPr>
                <w:rFonts w:ascii="Times New Roman" w:hAnsi="Times New Roman" w:cs="Times New Roman"/>
                <w:spacing w:val="-1"/>
                <w:sz w:val="12"/>
                <w:lang w:val="fr-FR"/>
              </w:rPr>
              <w:t xml:space="preserve"> </w:t>
            </w:r>
            <w:r w:rsidR="003A6BA3" w:rsidRPr="006929FA">
              <w:rPr>
                <w:rFonts w:ascii="Times New Roman" w:hAnsi="Times New Roman" w:cs="Times New Roman"/>
                <w:position w:val="3"/>
                <w:sz w:val="9"/>
                <w:lang w:val="fr-FR"/>
              </w:rPr>
              <w:t>(**)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4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4"/>
              <w:ind w:left="71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116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726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784,73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2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74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A43AA0" w:rsidP="00C102A3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Fonds pluriannuel à affectation obligatoire pour les dé</w:t>
            </w:r>
            <w:r w:rsidR="00123FE0" w:rsidRPr="006929FA">
              <w:rPr>
                <w:rFonts w:ascii="Times New Roman" w:hAnsi="Times New Roman" w:cs="Times New Roman"/>
                <w:sz w:val="12"/>
                <w:lang w:val="fr-FR"/>
              </w:rPr>
              <w:t>penses en capital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inscrit </w:t>
            </w:r>
            <w:r w:rsidR="00C102A3" w:rsidRPr="006929FA">
              <w:rPr>
                <w:rFonts w:ascii="Times New Roman" w:hAnsi="Times New Roman" w:cs="Times New Roman"/>
                <w:sz w:val="12"/>
                <w:lang w:val="fr-FR"/>
              </w:rPr>
              <w:t>au titre des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recettes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1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285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838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297,75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71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384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790,76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40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150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483,95</w:t>
            </w:r>
          </w:p>
        </w:tc>
      </w:tr>
      <w:tr w:rsidR="0057226A" w:rsidRPr="006929FA">
        <w:trPr>
          <w:trHeight w:hRule="exact" w:val="174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6C546D" w:rsidP="006C546D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Recettes en capital 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(tit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re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4)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1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121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731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429,92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65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290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985,72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40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158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324,31</w:t>
            </w:r>
          </w:p>
        </w:tc>
      </w:tr>
      <w:tr w:rsidR="0057226A" w:rsidRPr="006929FA">
        <w:trPr>
          <w:trHeight w:hRule="exact" w:val="174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6C546D" w:rsidP="00C102A3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Recettes Titre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5</w:t>
            </w:r>
            <w:r w:rsidR="00C102A3" w:rsidRPr="006929FA">
              <w:rPr>
                <w:rFonts w:ascii="Times New Roman" w:hAnsi="Times New Roman" w:cs="Times New Roman"/>
                <w:sz w:val="12"/>
                <w:lang w:val="fr-FR"/>
              </w:rPr>
              <w:t>.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>01</w:t>
            </w:r>
            <w:r w:rsidR="00C102A3" w:rsidRPr="006929FA">
              <w:rPr>
                <w:rFonts w:ascii="Times New Roman" w:hAnsi="Times New Roman" w:cs="Times New Roman"/>
                <w:sz w:val="12"/>
                <w:lang w:val="fr-FR"/>
              </w:rPr>
              <w:t>.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01 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–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Cession de participations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74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CC5FA6" w:rsidP="00106EDD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Recettes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p</w:t>
            </w:r>
            <w:r w:rsidR="00106EDD" w:rsidRPr="006929FA">
              <w:rPr>
                <w:rFonts w:ascii="Times New Roman" w:hAnsi="Times New Roman" w:cs="Times New Roman"/>
                <w:sz w:val="12"/>
                <w:lang w:val="fr-FR"/>
              </w:rPr>
              <w:t>our la souscription de prêts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(t</w:t>
            </w:r>
            <w:r w:rsidR="006C546D" w:rsidRPr="006929FA">
              <w:rPr>
                <w:rFonts w:ascii="Times New Roman" w:hAnsi="Times New Roman" w:cs="Times New Roman"/>
                <w:sz w:val="12"/>
                <w:lang w:val="fr-FR"/>
              </w:rPr>
              <w:t>itre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6)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C102A3" w:rsidRPr="006929FA" w:rsidTr="00C102A3">
        <w:trPr>
          <w:trHeight w:val="305"/>
        </w:trPr>
        <w:tc>
          <w:tcPr>
            <w:tcW w:w="5920" w:type="dxa"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 w:rsidR="00C102A3" w:rsidRPr="006929FA" w:rsidRDefault="00C102A3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" w:name="06"/>
            <w:bookmarkEnd w:id="1"/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Recettes en capital pour les aides aux investissements directement destinées  au remboursement de prêts accordés par</w:t>
            </w:r>
          </w:p>
          <w:p w:rsidR="00C102A3" w:rsidRPr="006929FA" w:rsidRDefault="00C102A3" w:rsidP="0011008F">
            <w:pPr>
              <w:pStyle w:val="TableParagraph"/>
              <w:spacing w:line="132" w:lineRule="exact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des Administration publiques</w:t>
            </w:r>
            <w:r w:rsidRPr="006929FA">
              <w:rPr>
                <w:rFonts w:ascii="Times New Roman" w:hAnsi="Times New Roman" w:cs="Times New Roman"/>
                <w:spacing w:val="-1"/>
                <w:sz w:val="12"/>
                <w:lang w:val="fr-FR"/>
              </w:rPr>
              <w:t xml:space="preserve"> </w:t>
            </w:r>
            <w:r w:rsidRPr="006929FA">
              <w:rPr>
                <w:rFonts w:ascii="Times New Roman" w:hAnsi="Times New Roman" w:cs="Times New Roman"/>
                <w:position w:val="3"/>
                <w:sz w:val="9"/>
                <w:lang w:val="fr-FR"/>
              </w:rPr>
              <w:t>(2)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102A3" w:rsidRPr="006929FA" w:rsidRDefault="00C102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(-)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102A3" w:rsidRPr="006929FA" w:rsidRDefault="00C102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102A3" w:rsidRPr="006929FA" w:rsidRDefault="00C102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:rsidR="00C102A3" w:rsidRPr="006929FA" w:rsidRDefault="00C102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76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6C546D" w:rsidP="00106EDD">
            <w:pPr>
              <w:pStyle w:val="TableParagraph"/>
              <w:spacing w:before="12"/>
              <w:ind w:left="23"/>
              <w:rPr>
                <w:rFonts w:ascii="Times New Roman" w:eastAsia="Times New Roman" w:hAnsi="Times New Roman" w:cs="Times New Roman"/>
                <w:sz w:val="9"/>
                <w:szCs w:val="9"/>
                <w:lang w:val="fr-FR"/>
              </w:rPr>
            </w:pPr>
            <w:bookmarkStart w:id="2" w:name="07"/>
            <w:bookmarkEnd w:id="2"/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Recettes en capital 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="00106EDD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destinées au remboursement anticipé de prêts </w:t>
            </w:r>
            <w:r w:rsidR="003A6BA3" w:rsidRPr="006929FA">
              <w:rPr>
                <w:rFonts w:ascii="Times New Roman" w:hAnsi="Times New Roman" w:cs="Times New Roman"/>
                <w:position w:val="3"/>
                <w:sz w:val="9"/>
                <w:lang w:val="fr-FR"/>
              </w:rPr>
              <w:t>(3)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(-)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 w:rsidTr="00766DF7">
        <w:trPr>
          <w:trHeight w:val="301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6C546D" w:rsidP="00E12854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3" w:name="08"/>
            <w:bookmarkEnd w:id="3"/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Recettes en capital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="00766DF7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destinées </w:t>
            </w:r>
            <w:r w:rsidR="00E12854" w:rsidRPr="006929FA">
              <w:rPr>
                <w:rFonts w:ascii="Times New Roman" w:hAnsi="Times New Roman" w:cs="Times New Roman"/>
                <w:sz w:val="12"/>
                <w:lang w:val="fr-FR"/>
              </w:rPr>
              <w:t>à financer les</w:t>
            </w:r>
            <w:r w:rsidR="00766DF7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dép</w:t>
            </w:r>
            <w:r w:rsidR="00123FE0" w:rsidRPr="006929FA">
              <w:rPr>
                <w:rFonts w:ascii="Times New Roman" w:hAnsi="Times New Roman" w:cs="Times New Roman"/>
                <w:sz w:val="12"/>
                <w:lang w:val="fr-FR"/>
              </w:rPr>
              <w:t>enses ordinaires sur la base de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="00766DF7" w:rsidRPr="006929FA">
              <w:rPr>
                <w:rFonts w:ascii="Times New Roman" w:hAnsi="Times New Roman" w:cs="Times New Roman"/>
                <w:sz w:val="12"/>
                <w:lang w:val="fr-FR"/>
              </w:rPr>
              <w:t>dispositions législatives spéciales ou des principes comptables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(-)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74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CC5FA6" w:rsidP="00766DF7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4" w:name="09"/>
            <w:bookmarkEnd w:id="4"/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Recettes 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="00106EDD" w:rsidRPr="006929FA">
              <w:rPr>
                <w:rFonts w:ascii="Times New Roman" w:hAnsi="Times New Roman" w:cs="Times New Roman"/>
                <w:sz w:val="12"/>
                <w:lang w:val="fr-FR"/>
              </w:rPr>
              <w:t>pour la souscription de prêts destinées au remboursement anticipé de prêts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(-)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74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6C546D" w:rsidP="00E12854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5" w:name="10"/>
            <w:bookmarkEnd w:id="5"/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Recettes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Tit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re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4</w:t>
            </w:r>
            <w:r w:rsidR="00E12854" w:rsidRPr="006929FA">
              <w:rPr>
                <w:rFonts w:ascii="Times New Roman" w:hAnsi="Times New Roman" w:cs="Times New Roman"/>
                <w:sz w:val="12"/>
                <w:lang w:val="fr-FR"/>
              </w:rPr>
              <w:t>.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03 </w:t>
            </w:r>
            <w:r w:rsidR="00106EDD" w:rsidRPr="006929FA">
              <w:rPr>
                <w:rFonts w:ascii="Times New Roman" w:hAnsi="Times New Roman" w:cs="Times New Roman"/>
                <w:sz w:val="12"/>
                <w:lang w:val="fr-FR"/>
              </w:rPr>
              <w:t>–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A</w:t>
            </w:r>
            <w:r w:rsidR="00106EDD" w:rsidRPr="006929FA">
              <w:rPr>
                <w:rFonts w:ascii="Times New Roman" w:hAnsi="Times New Roman" w:cs="Times New Roman"/>
                <w:sz w:val="12"/>
                <w:lang w:val="fr-FR"/>
              </w:rPr>
              <w:t>utres virements en capital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(-)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28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916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103,80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10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618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817,26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9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52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500</w:t>
            </w:r>
          </w:p>
        </w:tc>
      </w:tr>
      <w:tr w:rsidR="0057226A" w:rsidRPr="006929FA">
        <w:trPr>
          <w:trHeight w:hRule="exact" w:val="173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6C546D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6" w:name="11"/>
            <w:bookmarkEnd w:id="6"/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(-)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1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644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472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500,67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1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258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835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486,73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67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192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177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502,32</w:t>
            </w:r>
          </w:p>
        </w:tc>
      </w:tr>
      <w:tr w:rsidR="0057226A" w:rsidRPr="006929FA">
        <w:trPr>
          <w:trHeight w:hRule="exact" w:val="173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11008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7" w:name="12"/>
            <w:bookmarkEnd w:id="7"/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- fonds pluriannuel à affectation obligatoire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0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71</w:t>
            </w:r>
            <w:r w:rsidR="001456E8"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384</w:t>
            </w:r>
            <w:r w:rsidR="001456E8"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790,76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0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40</w:t>
            </w:r>
            <w:r w:rsidR="001456E8"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150</w:t>
            </w:r>
            <w:r w:rsidR="001456E8"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483,95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0"/>
              <w:ind w:left="7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31</w:t>
            </w:r>
            <w:r w:rsidR="001456E8"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064</w:t>
            </w:r>
            <w:r w:rsidR="001456E8"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025,88</w:t>
            </w:r>
          </w:p>
        </w:tc>
      </w:tr>
      <w:tr w:rsidR="0057226A" w:rsidRPr="006929FA">
        <w:trPr>
          <w:trHeight w:hRule="exact" w:val="174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6C546D" w:rsidP="00E12854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8" w:name="13"/>
            <w:bookmarkEnd w:id="8"/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Dépenses Titre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  <w:r w:rsidR="00E12854" w:rsidRPr="006929FA">
              <w:rPr>
                <w:rFonts w:ascii="Times New Roman" w:hAnsi="Times New Roman" w:cs="Times New Roman"/>
                <w:sz w:val="12"/>
                <w:lang w:val="fr-FR"/>
              </w:rPr>
              <w:t>.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04 </w:t>
            </w:r>
            <w:r w:rsidR="00CC5FA6" w:rsidRPr="006929FA">
              <w:rPr>
                <w:rFonts w:ascii="Times New Roman" w:hAnsi="Times New Roman" w:cs="Times New Roman"/>
                <w:sz w:val="12"/>
                <w:lang w:val="fr-FR"/>
              </w:rPr>
              <w:t>–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A</w:t>
            </w:r>
            <w:r w:rsidR="00CC5FA6" w:rsidRPr="006929FA">
              <w:rPr>
                <w:rFonts w:ascii="Times New Roman" w:hAnsi="Times New Roman" w:cs="Times New Roman"/>
                <w:sz w:val="12"/>
                <w:lang w:val="fr-FR"/>
              </w:rPr>
              <w:t>utres virements en capital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856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159,97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8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6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534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140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6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066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640</w:t>
            </w:r>
          </w:p>
        </w:tc>
      </w:tr>
      <w:tr w:rsidR="0057226A" w:rsidRPr="006929FA">
        <w:trPr>
          <w:trHeight w:hRule="exact" w:val="171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6C546D" w:rsidP="00E12854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9" w:name="14"/>
            <w:bookmarkEnd w:id="9"/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Dépenses Titre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3</w:t>
            </w:r>
            <w:r w:rsidR="00E12854" w:rsidRPr="006929FA">
              <w:rPr>
                <w:rFonts w:ascii="Times New Roman" w:hAnsi="Times New Roman" w:cs="Times New Roman"/>
                <w:sz w:val="12"/>
                <w:lang w:val="fr-FR"/>
              </w:rPr>
              <w:t>.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>01</w:t>
            </w:r>
            <w:r w:rsidR="00E12854" w:rsidRPr="006929FA">
              <w:rPr>
                <w:rFonts w:ascii="Times New Roman" w:hAnsi="Times New Roman" w:cs="Times New Roman"/>
                <w:sz w:val="12"/>
                <w:lang w:val="fr-FR"/>
              </w:rPr>
              <w:t>.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01 </w:t>
            </w:r>
            <w:r w:rsidR="00CC5FA6" w:rsidRPr="006929FA">
              <w:rPr>
                <w:rFonts w:ascii="Times New Roman" w:hAnsi="Times New Roman" w:cs="Times New Roman"/>
                <w:sz w:val="12"/>
                <w:lang w:val="fr-FR"/>
              </w:rPr>
              <w:t>–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="00CC5FA6" w:rsidRPr="006929FA">
              <w:rPr>
                <w:rFonts w:ascii="Times New Roman" w:hAnsi="Times New Roman" w:cs="Times New Roman"/>
                <w:sz w:val="12"/>
                <w:lang w:val="fr-FR"/>
              </w:rPr>
              <w:t>Prise de participations et apports de capitaux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(-)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15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228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040,90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8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2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905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116,05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2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000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000</w:t>
            </w:r>
          </w:p>
        </w:tc>
      </w:tr>
      <w:tr w:rsidR="0057226A" w:rsidRPr="006929FA">
        <w:trPr>
          <w:trHeight w:hRule="exact" w:val="176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5B7110" w:rsidP="00123FE0">
            <w:pPr>
              <w:pStyle w:val="TableParagraph"/>
              <w:spacing w:before="12"/>
              <w:ind w:left="23"/>
              <w:rPr>
                <w:rFonts w:ascii="Times New Roman" w:eastAsia="Times New Roman" w:hAnsi="Times New Roman" w:cs="Times New Roman"/>
                <w:sz w:val="9"/>
                <w:szCs w:val="9"/>
                <w:lang w:val="fr-FR"/>
              </w:rPr>
            </w:pPr>
            <w:bookmarkStart w:id="10" w:name="15"/>
            <w:bookmarkEnd w:id="10"/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Couverture du déficit 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="00D057EF" w:rsidRPr="006929FA">
              <w:rPr>
                <w:rFonts w:ascii="Times New Roman" w:hAnsi="Times New Roman" w:cs="Times New Roman"/>
                <w:sz w:val="12"/>
                <w:lang w:val="fr-FR"/>
              </w:rPr>
              <w:t>p</w:t>
            </w:r>
            <w:r w:rsidR="0011008F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récédent découlant de </w:t>
            </w:r>
            <w:r w:rsidR="0011008F" w:rsidRPr="006929FA">
              <w:rPr>
                <w:rFonts w:ascii="Times New Roman" w:hAnsi="Times New Roman" w:cs="Times New Roman"/>
                <w:sz w:val="12"/>
                <w:highlight w:val="green"/>
                <w:lang w:val="fr-FR"/>
              </w:rPr>
              <w:t xml:space="preserve">dettes </w:t>
            </w:r>
            <w:r w:rsidR="0011008F" w:rsidRPr="006929FA">
              <w:rPr>
                <w:rFonts w:ascii="Times New Roman" w:hAnsi="Times New Roman" w:cs="Times New Roman"/>
                <w:sz w:val="12"/>
                <w:lang w:val="fr-FR"/>
              </w:rPr>
              <w:t>autorisées mais non</w:t>
            </w:r>
            <w:r w:rsidR="0011008F" w:rsidRPr="006929FA">
              <w:rPr>
                <w:rFonts w:ascii="Times New Roman" w:hAnsi="Times New Roman" w:cs="Times New Roman"/>
                <w:sz w:val="12"/>
                <w:highlight w:val="green"/>
                <w:lang w:val="fr-FR"/>
              </w:rPr>
              <w:t xml:space="preserve"> contractées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(</w:t>
            </w:r>
            <w:r w:rsidR="0011008F" w:rsidRPr="006929FA">
              <w:rPr>
                <w:rFonts w:ascii="Times New Roman" w:hAnsi="Times New Roman" w:cs="Times New Roman"/>
                <w:sz w:val="12"/>
                <w:lang w:val="fr-FR"/>
              </w:rPr>
              <w:t>présumé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>)</w:t>
            </w:r>
            <w:r w:rsidR="003A6BA3" w:rsidRPr="006929FA">
              <w:rPr>
                <w:rFonts w:ascii="Times New Roman" w:hAnsi="Times New Roman" w:cs="Times New Roman"/>
                <w:spacing w:val="-1"/>
                <w:sz w:val="12"/>
                <w:lang w:val="fr-FR"/>
              </w:rPr>
              <w:t xml:space="preserve"> </w:t>
            </w:r>
            <w:r w:rsidR="003A6BA3" w:rsidRPr="006929FA">
              <w:rPr>
                <w:rFonts w:ascii="Times New Roman" w:hAnsi="Times New Roman" w:cs="Times New Roman"/>
                <w:position w:val="3"/>
                <w:sz w:val="9"/>
                <w:lang w:val="fr-FR"/>
              </w:rPr>
              <w:t>(7)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(-)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68"/>
        </w:trPr>
        <w:tc>
          <w:tcPr>
            <w:tcW w:w="592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D057EF" w:rsidP="00D057EF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1" w:name="16"/>
            <w:bookmarkEnd w:id="11"/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Rectifications </w:t>
            </w:r>
            <w:r w:rsidR="00370D96" w:rsidRPr="006929FA">
              <w:rPr>
                <w:rFonts w:ascii="Times New Roman" w:hAnsi="Times New Roman" w:cs="Times New Roman"/>
                <w:sz w:val="12"/>
                <w:highlight w:val="cyan"/>
                <w:lang w:val="fr-FR"/>
              </w:rPr>
              <w:t>des produits des activités financière</w:t>
            </w:r>
            <w:r w:rsidR="00370D96" w:rsidRPr="006929FA">
              <w:rPr>
                <w:rFonts w:ascii="Times New Roman" w:hAnsi="Times New Roman" w:cs="Times New Roman"/>
                <w:sz w:val="12"/>
                <w:lang w:val="fr-FR"/>
              </w:rPr>
              <w:t>s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(si le résultat est positif)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8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9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879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924,85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98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32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000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9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32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000</w:t>
            </w:r>
          </w:p>
        </w:tc>
      </w:tr>
      <w:tr w:rsidR="0057226A" w:rsidRPr="006929FA">
        <w:trPr>
          <w:trHeight w:hRule="exact" w:val="233"/>
        </w:trPr>
        <w:tc>
          <w:tcPr>
            <w:tcW w:w="5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 w:rsidP="00620BDE">
            <w:pPr>
              <w:pStyle w:val="TableParagraph"/>
              <w:spacing w:before="49"/>
              <w:ind w:right="3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B) </w:t>
            </w:r>
            <w:r w:rsidR="00620BDE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Équilibre </w:t>
            </w:r>
            <w:r w:rsidR="004963A6" w:rsidRPr="006929FA">
              <w:rPr>
                <w:rFonts w:ascii="Times New Roman" w:hAnsi="Times New Roman" w:cs="Times New Roman"/>
                <w:b/>
                <w:color w:val="000000" w:themeColor="text1"/>
                <w:sz w:val="12"/>
                <w:highlight w:val="cyan"/>
                <w:lang w:val="fr-FR"/>
              </w:rPr>
              <w:t>des recettes et des dépenses</w:t>
            </w:r>
            <w:r w:rsidR="00620BDE" w:rsidRPr="006929FA">
              <w:rPr>
                <w:rFonts w:ascii="Times New Roman" w:hAnsi="Times New Roman" w:cs="Times New Roman"/>
                <w:b/>
                <w:color w:val="000000" w:themeColor="text1"/>
                <w:sz w:val="12"/>
                <w:highlight w:val="cyan"/>
                <w:lang w:val="fr-FR"/>
              </w:rPr>
              <w:t xml:space="preserve"> en capital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left="6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-135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584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048,15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left="6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-129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117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503,56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left="6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-107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822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554,06</w:t>
            </w:r>
          </w:p>
        </w:tc>
      </w:tr>
      <w:tr w:rsidR="0057226A" w:rsidRPr="006929FA">
        <w:trPr>
          <w:trHeight w:hRule="exact" w:val="195"/>
        </w:trPr>
        <w:tc>
          <w:tcPr>
            <w:tcW w:w="5920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766DF7" w:rsidP="00766DF7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9"/>
                <w:szCs w:val="9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Utilisation de l’excédent présumé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pour le financement d’activités</w:t>
            </w:r>
            <w:r w:rsidR="005845B9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financières</w:t>
            </w:r>
            <w:r w:rsidR="003A6BA3" w:rsidRPr="006929FA">
              <w:rPr>
                <w:rFonts w:ascii="Times New Roman" w:hAnsi="Times New Roman" w:cs="Times New Roman"/>
                <w:spacing w:val="-1"/>
                <w:sz w:val="12"/>
                <w:lang w:val="fr-FR"/>
              </w:rPr>
              <w:t xml:space="preserve"> </w:t>
            </w:r>
            <w:r w:rsidR="003A6BA3" w:rsidRPr="006929FA">
              <w:rPr>
                <w:rFonts w:ascii="Times New Roman" w:hAnsi="Times New Roman" w:cs="Times New Roman"/>
                <w:position w:val="3"/>
                <w:sz w:val="9"/>
                <w:lang w:val="fr-FR"/>
              </w:rPr>
              <w:t>(**)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5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5"/>
              <w:ind w:left="8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5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029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119,77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5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25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74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3A6BA3" w:rsidP="00370D96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2" w:name="011"/>
            <w:bookmarkEnd w:id="12"/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Fond</w:t>
            </w:r>
            <w:r w:rsidR="00766DF7" w:rsidRPr="006929FA">
              <w:rPr>
                <w:rFonts w:ascii="Times New Roman" w:hAnsi="Times New Roman" w:cs="Times New Roman"/>
                <w:sz w:val="12"/>
                <w:lang w:val="fr-FR"/>
              </w:rPr>
              <w:t>s pluriannuel à affectation obligatoire pour l</w:t>
            </w:r>
            <w:r w:rsidR="00370D96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’augmentation </w:t>
            </w:r>
            <w:r w:rsidR="00370D96" w:rsidRPr="006929FA">
              <w:rPr>
                <w:rFonts w:ascii="Times New Roman" w:hAnsi="Times New Roman" w:cs="Times New Roman"/>
                <w:sz w:val="12"/>
                <w:highlight w:val="cyan"/>
                <w:lang w:val="fr-FR"/>
              </w:rPr>
              <w:t>des produits des activités financière</w:t>
            </w:r>
            <w:r w:rsidR="00370D96" w:rsidRPr="006929FA">
              <w:rPr>
                <w:rFonts w:ascii="Times New Roman" w:hAnsi="Times New Roman" w:cs="Times New Roman"/>
                <w:sz w:val="12"/>
                <w:lang w:val="fr-FR"/>
              </w:rPr>
              <w:t>s</w:t>
            </w:r>
            <w:r w:rsidR="00766DF7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inscrit </w:t>
            </w:r>
            <w:r w:rsidR="003124A4" w:rsidRPr="006929FA">
              <w:rPr>
                <w:rFonts w:ascii="Times New Roman" w:hAnsi="Times New Roman" w:cs="Times New Roman"/>
                <w:sz w:val="12"/>
                <w:lang w:val="fr-FR"/>
              </w:rPr>
              <w:t>au titre des</w:t>
            </w:r>
            <w:r w:rsidR="00766DF7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recettes 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8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9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847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924,85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74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CC5FA6" w:rsidP="00100014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Recettes titre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5</w:t>
            </w:r>
            <w:r w:rsidR="004963A6" w:rsidRPr="006929FA">
              <w:rPr>
                <w:rFonts w:ascii="Times New Roman" w:hAnsi="Times New Roman" w:cs="Times New Roman"/>
                <w:sz w:val="12"/>
                <w:lang w:val="fr-FR"/>
              </w:rPr>
              <w:t>.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00 </w:t>
            </w:r>
            <w:r w:rsidR="00766DF7" w:rsidRPr="006929FA">
              <w:rPr>
                <w:rFonts w:ascii="Times New Roman" w:hAnsi="Times New Roman" w:cs="Times New Roman"/>
                <w:sz w:val="12"/>
                <w:lang w:val="fr-FR"/>
              </w:rPr>
              <w:t>–</w:t>
            </w:r>
            <w:r w:rsidR="003124A4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="00860E21" w:rsidRPr="006929FA">
              <w:rPr>
                <w:rFonts w:ascii="Times New Roman" w:hAnsi="Times New Roman" w:cs="Times New Roman"/>
                <w:sz w:val="12"/>
                <w:lang w:val="fr-FR"/>
              </w:rPr>
              <w:t>Diminution</w:t>
            </w:r>
            <w:r w:rsidR="00370D96" w:rsidRPr="006929FA">
              <w:rPr>
                <w:rFonts w:ascii="Times New Roman" w:hAnsi="Times New Roman" w:cs="Times New Roman"/>
                <w:sz w:val="12"/>
                <w:highlight w:val="cyan"/>
                <w:lang w:val="fr-FR"/>
              </w:rPr>
              <w:t xml:space="preserve"> des produits des activités financière</w:t>
            </w:r>
            <w:r w:rsidR="00370D96" w:rsidRPr="006929FA">
              <w:rPr>
                <w:rFonts w:ascii="Times New Roman" w:hAnsi="Times New Roman" w:cs="Times New Roman"/>
                <w:sz w:val="12"/>
                <w:lang w:val="fr-FR"/>
              </w:rPr>
              <w:t>s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15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035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13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035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000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15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035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000</w:t>
            </w:r>
          </w:p>
        </w:tc>
      </w:tr>
      <w:tr w:rsidR="0057226A" w:rsidRPr="006929FA">
        <w:trPr>
          <w:trHeight w:hRule="exact" w:val="173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CC5FA6" w:rsidP="00100014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3" w:name="03"/>
            <w:bookmarkEnd w:id="13"/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Dépenses titre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3</w:t>
            </w:r>
            <w:r w:rsidR="004963A6" w:rsidRPr="006929FA">
              <w:rPr>
                <w:rFonts w:ascii="Times New Roman" w:hAnsi="Times New Roman" w:cs="Times New Roman"/>
                <w:sz w:val="12"/>
                <w:lang w:val="fr-FR"/>
              </w:rPr>
              <w:t>.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00 </w:t>
            </w:r>
            <w:r w:rsidR="00766DF7" w:rsidRPr="006929FA">
              <w:rPr>
                <w:rFonts w:ascii="Times New Roman" w:hAnsi="Times New Roman" w:cs="Times New Roman"/>
                <w:sz w:val="12"/>
                <w:lang w:val="fr-FR"/>
              </w:rPr>
              <w:t>–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="00100014" w:rsidRPr="006929FA">
              <w:rPr>
                <w:rFonts w:ascii="Times New Roman" w:hAnsi="Times New Roman" w:cs="Times New Roman"/>
                <w:sz w:val="12"/>
                <w:lang w:val="fr-FR"/>
              </w:rPr>
              <w:t>Augmentation</w:t>
            </w:r>
            <w:r w:rsidR="00766DF7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="00370D96" w:rsidRPr="006929FA">
              <w:rPr>
                <w:rFonts w:ascii="Times New Roman" w:hAnsi="Times New Roman" w:cs="Times New Roman"/>
                <w:sz w:val="12"/>
                <w:highlight w:val="cyan"/>
                <w:lang w:val="fr-FR"/>
              </w:rPr>
              <w:t>des produits des activités financière</w:t>
            </w:r>
            <w:r w:rsidR="00370D96" w:rsidRPr="006929FA">
              <w:rPr>
                <w:rFonts w:ascii="Times New Roman" w:hAnsi="Times New Roman" w:cs="Times New Roman"/>
                <w:sz w:val="12"/>
                <w:lang w:val="fr-FR"/>
              </w:rPr>
              <w:t>s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(-)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35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260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160,67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15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908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116,05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17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003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000</w:t>
            </w:r>
          </w:p>
        </w:tc>
      </w:tr>
      <w:tr w:rsidR="0057226A" w:rsidRPr="006929FA">
        <w:trPr>
          <w:trHeight w:hRule="exact" w:val="173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11008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4" w:name="031"/>
            <w:bookmarkEnd w:id="14"/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- fonds pluriannuel à affectation obligatoire pour les activités financières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0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0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0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i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74"/>
        </w:trPr>
        <w:tc>
          <w:tcPr>
            <w:tcW w:w="59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57226A" w:rsidRPr="006929FA" w:rsidRDefault="001456E8" w:rsidP="00370D96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5" w:name="04"/>
            <w:bookmarkEnd w:id="15"/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Recettes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Ti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tre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5</w:t>
            </w:r>
            <w:r w:rsidR="00370D96" w:rsidRPr="006929FA">
              <w:rPr>
                <w:rFonts w:ascii="Times New Roman" w:hAnsi="Times New Roman" w:cs="Times New Roman"/>
                <w:sz w:val="12"/>
                <w:lang w:val="fr-FR"/>
              </w:rPr>
              <w:t>.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>01</w:t>
            </w:r>
            <w:r w:rsidR="00370D96" w:rsidRPr="006929FA">
              <w:rPr>
                <w:rFonts w:ascii="Times New Roman" w:hAnsi="Times New Roman" w:cs="Times New Roman"/>
                <w:sz w:val="12"/>
                <w:lang w:val="fr-FR"/>
              </w:rPr>
              <w:t>.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01 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–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Cession de participations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(-)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>
        <w:trPr>
          <w:trHeight w:hRule="exact" w:val="168"/>
        </w:trPr>
        <w:tc>
          <w:tcPr>
            <w:tcW w:w="592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1456E8" w:rsidP="00370D96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6" w:name="05"/>
            <w:bookmarkEnd w:id="16"/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Dépenses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Tit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re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3</w:t>
            </w:r>
            <w:r w:rsidR="00370D96" w:rsidRPr="006929FA">
              <w:rPr>
                <w:rFonts w:ascii="Times New Roman" w:hAnsi="Times New Roman" w:cs="Times New Roman"/>
                <w:sz w:val="12"/>
                <w:lang w:val="fr-FR"/>
              </w:rPr>
              <w:t>.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>01</w:t>
            </w:r>
            <w:r w:rsidR="00370D96" w:rsidRPr="006929FA">
              <w:rPr>
                <w:rFonts w:ascii="Times New Roman" w:hAnsi="Times New Roman" w:cs="Times New Roman"/>
                <w:sz w:val="12"/>
                <w:lang w:val="fr-FR"/>
              </w:rPr>
              <w:t>.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01 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–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Prise de participations et apports de capitaux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(+)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15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228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040,90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8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2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905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116,05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11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2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000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000</w:t>
            </w:r>
          </w:p>
        </w:tc>
      </w:tr>
      <w:tr w:rsidR="0057226A" w:rsidRPr="006929FA">
        <w:trPr>
          <w:trHeight w:hRule="exact" w:val="233"/>
        </w:trPr>
        <w:tc>
          <w:tcPr>
            <w:tcW w:w="5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49"/>
              <w:ind w:right="3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C) </w:t>
            </w:r>
            <w:r w:rsidR="00620BDE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Rectifications </w:t>
            </w:r>
            <w:r w:rsidR="00370D96" w:rsidRPr="006929FA">
              <w:rPr>
                <w:rFonts w:ascii="Times New Roman" w:hAnsi="Times New Roman" w:cs="Times New Roman"/>
                <w:b/>
                <w:sz w:val="12"/>
                <w:highlight w:val="cyan"/>
                <w:lang w:val="fr-FR"/>
              </w:rPr>
              <w:t>des produits des activités financière</w:t>
            </w:r>
            <w:r w:rsidR="00370D96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s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left="8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9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879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924,85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left="98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32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000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left="9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32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000</w:t>
            </w:r>
          </w:p>
        </w:tc>
      </w:tr>
      <w:tr w:rsidR="0057226A" w:rsidRPr="006929FA">
        <w:trPr>
          <w:trHeight w:hRule="exact" w:val="208"/>
        </w:trPr>
        <w:tc>
          <w:tcPr>
            <w:tcW w:w="59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7226A" w:rsidRPr="006929FA">
        <w:trPr>
          <w:trHeight w:hRule="exact" w:val="223"/>
        </w:trPr>
        <w:tc>
          <w:tcPr>
            <w:tcW w:w="5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7226A" w:rsidRPr="006929FA" w:rsidRDefault="001456E8">
            <w:pPr>
              <w:pStyle w:val="TableParagraph"/>
              <w:spacing w:before="29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ÉQUILIBRE FINAL</w:t>
            </w:r>
            <w:r w:rsidR="003A6BA3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(D=A+B)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0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0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0</w:t>
            </w:r>
          </w:p>
        </w:tc>
      </w:tr>
    </w:tbl>
    <w:p w:rsidR="0057226A" w:rsidRPr="006929FA" w:rsidRDefault="0057226A">
      <w:pPr>
        <w:spacing w:before="2"/>
        <w:rPr>
          <w:rFonts w:ascii="Times New Roman" w:eastAsia="Palatino Linotype" w:hAnsi="Times New Roman" w:cs="Times New Roman"/>
          <w:i/>
          <w:sz w:val="10"/>
          <w:szCs w:val="10"/>
          <w:lang w:val="fr-FR"/>
        </w:rPr>
      </w:pPr>
    </w:p>
    <w:p w:rsidR="0057226A" w:rsidRPr="006929FA" w:rsidRDefault="00123FE0">
      <w:pPr>
        <w:spacing w:before="88"/>
        <w:ind w:left="143"/>
        <w:rPr>
          <w:rFonts w:ascii="Times New Roman" w:eastAsia="Times New Roman" w:hAnsi="Times New Roman" w:cs="Times New Roman"/>
          <w:sz w:val="9"/>
          <w:szCs w:val="9"/>
          <w:lang w:val="fr-FR"/>
        </w:rPr>
      </w:pPr>
      <w:bookmarkStart w:id="17" w:name="02"/>
      <w:bookmarkEnd w:id="17"/>
      <w:r w:rsidRPr="00D90C71">
        <w:rPr>
          <w:rFonts w:ascii="Times New Roman" w:hAnsi="Times New Roman" w:cs="Times New Roman"/>
          <w:b/>
          <w:sz w:val="12"/>
          <w:highlight w:val="green"/>
          <w:lang w:val="fr-FR"/>
        </w:rPr>
        <w:t xml:space="preserve">Solde </w:t>
      </w:r>
      <w:r w:rsidR="00D90C71" w:rsidRPr="00D90C71">
        <w:rPr>
          <w:rFonts w:ascii="Times New Roman" w:hAnsi="Times New Roman" w:cs="Times New Roman"/>
          <w:b/>
          <w:sz w:val="12"/>
          <w:highlight w:val="green"/>
          <w:lang w:val="fr-FR"/>
        </w:rPr>
        <w:t>des recettes et des dépenses</w:t>
      </w:r>
      <w:r w:rsidR="00D90C71">
        <w:rPr>
          <w:rFonts w:ascii="Times New Roman" w:hAnsi="Times New Roman" w:cs="Times New Roman"/>
          <w:b/>
          <w:sz w:val="12"/>
          <w:lang w:val="fr-FR"/>
        </w:rPr>
        <w:t xml:space="preserve"> ordinaires</w:t>
      </w:r>
      <w:r w:rsidRPr="006929FA">
        <w:rPr>
          <w:rFonts w:ascii="Times New Roman" w:hAnsi="Times New Roman" w:cs="Times New Roman"/>
          <w:b/>
          <w:sz w:val="12"/>
          <w:lang w:val="fr-FR"/>
        </w:rPr>
        <w:t xml:space="preserve"> aux fin</w:t>
      </w:r>
      <w:r w:rsidR="00D90C71">
        <w:rPr>
          <w:rFonts w:ascii="Times New Roman" w:hAnsi="Times New Roman" w:cs="Times New Roman"/>
          <w:b/>
          <w:sz w:val="12"/>
          <w:lang w:val="fr-FR"/>
        </w:rPr>
        <w:t>s de</w:t>
      </w:r>
      <w:r w:rsidRPr="006929FA">
        <w:rPr>
          <w:rFonts w:ascii="Times New Roman" w:hAnsi="Times New Roman" w:cs="Times New Roman"/>
          <w:b/>
          <w:sz w:val="12"/>
          <w:lang w:val="fr-FR"/>
        </w:rPr>
        <w:t xml:space="preserve"> la couverture des</w:t>
      </w:r>
      <w:r w:rsidR="003A6BA3" w:rsidRPr="006929FA">
        <w:rPr>
          <w:rFonts w:ascii="Times New Roman" w:hAnsi="Times New Roman" w:cs="Times New Roman"/>
          <w:b/>
          <w:sz w:val="12"/>
          <w:lang w:val="fr-FR"/>
        </w:rPr>
        <w:t xml:space="preserve"> </w:t>
      </w:r>
      <w:r w:rsidRPr="006929FA">
        <w:rPr>
          <w:rFonts w:ascii="Times New Roman" w:hAnsi="Times New Roman" w:cs="Times New Roman"/>
          <w:b/>
          <w:sz w:val="12"/>
          <w:lang w:val="fr-FR"/>
        </w:rPr>
        <w:t>investissements pluriannuels</w:t>
      </w:r>
      <w:r w:rsidR="003A6BA3" w:rsidRPr="006929FA">
        <w:rPr>
          <w:rFonts w:ascii="Times New Roman" w:hAnsi="Times New Roman" w:cs="Times New Roman"/>
          <w:b/>
          <w:sz w:val="12"/>
          <w:lang w:val="fr-FR"/>
        </w:rPr>
        <w:t xml:space="preserve"> </w:t>
      </w:r>
      <w:r w:rsidR="00D90C71">
        <w:rPr>
          <w:rFonts w:ascii="Times New Roman" w:hAnsi="Times New Roman" w:cs="Times New Roman"/>
          <w:b/>
          <w:sz w:val="12"/>
          <w:lang w:val="fr-FR"/>
        </w:rPr>
        <w:t xml:space="preserve">des Autonomies </w:t>
      </w:r>
      <w:r w:rsidRPr="006929FA">
        <w:rPr>
          <w:rFonts w:ascii="Times New Roman" w:hAnsi="Times New Roman" w:cs="Times New Roman"/>
          <w:b/>
          <w:sz w:val="12"/>
          <w:lang w:val="fr-FR"/>
        </w:rPr>
        <w:t>spéciales</w:t>
      </w:r>
      <w:r w:rsidR="003A6BA3" w:rsidRPr="006929FA">
        <w:rPr>
          <w:rFonts w:ascii="Times New Roman" w:hAnsi="Times New Roman" w:cs="Times New Roman"/>
          <w:b/>
          <w:spacing w:val="-1"/>
          <w:sz w:val="12"/>
          <w:lang w:val="fr-FR"/>
        </w:rPr>
        <w:t xml:space="preserve"> </w:t>
      </w:r>
      <w:r w:rsidR="003A6BA3" w:rsidRPr="006929FA">
        <w:rPr>
          <w:rFonts w:ascii="Times New Roman" w:hAnsi="Times New Roman" w:cs="Times New Roman"/>
          <w:b/>
          <w:position w:val="3"/>
          <w:sz w:val="9"/>
          <w:lang w:val="fr-FR"/>
        </w:rPr>
        <w:t>(6)</w:t>
      </w:r>
    </w:p>
    <w:p w:rsidR="0057226A" w:rsidRPr="006929FA" w:rsidRDefault="0057226A">
      <w:pPr>
        <w:spacing w:before="8"/>
        <w:rPr>
          <w:rFonts w:ascii="Times New Roman" w:eastAsia="Times New Roman" w:hAnsi="Times New Roman" w:cs="Times New Roman"/>
          <w:b/>
          <w:bCs/>
          <w:sz w:val="2"/>
          <w:szCs w:val="2"/>
          <w:lang w:val="fr-FR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935"/>
        <w:gridCol w:w="750"/>
        <w:gridCol w:w="1500"/>
        <w:gridCol w:w="1500"/>
        <w:gridCol w:w="1485"/>
      </w:tblGrid>
      <w:tr w:rsidR="0057226A" w:rsidRPr="006929FA">
        <w:trPr>
          <w:trHeight w:hRule="exact" w:val="193"/>
        </w:trPr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 w:rsidP="0012381C">
            <w:pPr>
              <w:pStyle w:val="TableParagraph"/>
              <w:spacing w:before="29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8" w:name="00"/>
            <w:bookmarkEnd w:id="18"/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A) </w:t>
            </w:r>
            <w:r w:rsidR="00620BDE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Équilib</w:t>
            </w:r>
            <w:r w:rsidR="00620BDE" w:rsidRPr="0012381C">
              <w:rPr>
                <w:rFonts w:ascii="Times New Roman" w:hAnsi="Times New Roman" w:cs="Times New Roman"/>
                <w:b/>
                <w:color w:val="000000" w:themeColor="text1"/>
                <w:sz w:val="12"/>
                <w:lang w:val="fr-FR"/>
              </w:rPr>
              <w:t>re</w:t>
            </w:r>
            <w:r w:rsidRPr="0012381C">
              <w:rPr>
                <w:rFonts w:ascii="Times New Roman" w:hAnsi="Times New Roman" w:cs="Times New Roman"/>
                <w:b/>
                <w:color w:val="000000" w:themeColor="text1"/>
                <w:sz w:val="12"/>
                <w:lang w:val="fr-FR"/>
              </w:rPr>
              <w:t xml:space="preserve"> </w:t>
            </w:r>
            <w:r w:rsidR="0012381C" w:rsidRPr="0012381C">
              <w:rPr>
                <w:rFonts w:ascii="Times New Roman" w:hAnsi="Times New Roman" w:cs="Times New Roman"/>
                <w:b/>
                <w:color w:val="000000" w:themeColor="text1"/>
                <w:sz w:val="12"/>
                <w:highlight w:val="cyan"/>
                <w:lang w:val="fr-FR"/>
              </w:rPr>
              <w:t>des recettes et des dépenses</w:t>
            </w:r>
            <w:r w:rsidR="0012381C" w:rsidRPr="0012381C">
              <w:rPr>
                <w:rFonts w:ascii="Times New Roman" w:hAnsi="Times New Roman" w:cs="Times New Roman"/>
                <w:b/>
                <w:color w:val="000000" w:themeColor="text1"/>
                <w:sz w:val="12"/>
                <w:lang w:val="fr-FR"/>
              </w:rPr>
              <w:t xml:space="preserve"> </w:t>
            </w:r>
            <w:r w:rsidR="00620BDE" w:rsidRPr="0012381C">
              <w:rPr>
                <w:rFonts w:ascii="Times New Roman" w:hAnsi="Times New Roman" w:cs="Times New Roman"/>
                <w:b/>
                <w:color w:val="000000" w:themeColor="text1"/>
                <w:sz w:val="12"/>
                <w:lang w:val="fr-FR"/>
              </w:rPr>
              <w:t>ordinaire</w:t>
            </w:r>
            <w:r w:rsidR="0012381C" w:rsidRPr="0012381C">
              <w:rPr>
                <w:rFonts w:ascii="Times New Roman" w:hAnsi="Times New Roman" w:cs="Times New Roman"/>
                <w:b/>
                <w:color w:val="000000" w:themeColor="text1"/>
                <w:sz w:val="12"/>
                <w:lang w:val="fr-FR"/>
              </w:rPr>
              <w:t>s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left="71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135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584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048,15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left="71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129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117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503,56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107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822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554,06</w:t>
            </w:r>
          </w:p>
        </w:tc>
      </w:tr>
      <w:tr w:rsidR="0057226A" w:rsidRPr="006929FA">
        <w:trPr>
          <w:trHeight w:hRule="exact" w:val="323"/>
        </w:trPr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620BDE" w:rsidP="005431BA">
            <w:pPr>
              <w:pStyle w:val="TableParagraph"/>
              <w:spacing w:before="29" w:line="134" w:lineRule="exact"/>
              <w:ind w:left="23" w:right="26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9" w:name="01"/>
            <w:bookmarkEnd w:id="19"/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Utilisation de l’excédent pour le 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financement de dépenses ordinaires et le remboursement de </w:t>
            </w:r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prêts</w:t>
            </w:r>
            <w:r w:rsidR="005431BA" w:rsidRPr="006929FA">
              <w:rPr>
                <w:rFonts w:ascii="Times New Roman" w:hAnsi="Times New Roman" w:cs="Times New Roman"/>
                <w:sz w:val="12"/>
                <w:lang w:val="fr-FR"/>
              </w:rPr>
              <w:t>,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déduction faite du </w:t>
            </w:r>
            <w:bookmarkStart w:id="20" w:name="_GoBack"/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>Fond</w:t>
            </w:r>
            <w:r w:rsidR="005431BA" w:rsidRPr="006929FA">
              <w:rPr>
                <w:rFonts w:ascii="Times New Roman" w:hAnsi="Times New Roman" w:cs="Times New Roman"/>
                <w:sz w:val="12"/>
                <w:lang w:val="fr-FR"/>
              </w:rPr>
              <w:t>s pour les avances de liquidités</w:t>
            </w:r>
            <w:bookmarkEnd w:id="20"/>
            <w:r w:rsidR="003A6BA3" w:rsidRPr="006929FA">
              <w:rPr>
                <w:rFonts w:ascii="Times New Roman" w:hAnsi="Times New Roman" w:cs="Times New Roman"/>
                <w:sz w:val="12"/>
                <w:lang w:val="fr-FR"/>
              </w:rPr>
              <w:t xml:space="preserve"> (H)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4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(-)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4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89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368</w:t>
            </w:r>
            <w:r w:rsidR="001456E8" w:rsidRPr="006929FA">
              <w:rPr>
                <w:rFonts w:ascii="Times New Roman" w:hAnsi="Times New Roman" w:cs="Times New Roman"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540,54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4"/>
              <w:ind w:right="1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sz w:val="12"/>
                <w:lang w:val="fr-FR"/>
              </w:rPr>
              <w:t>0</w:t>
            </w:r>
          </w:p>
        </w:tc>
      </w:tr>
      <w:tr w:rsidR="0057226A" w:rsidRPr="006929FA" w:rsidTr="00620BDE">
        <w:trPr>
          <w:trHeight w:hRule="exact" w:val="324"/>
        </w:trPr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12381C" w:rsidP="0012381C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12381C">
              <w:rPr>
                <w:rFonts w:ascii="Times New Roman" w:hAnsi="Times New Roman" w:cs="Times New Roman"/>
                <w:b/>
                <w:sz w:val="12"/>
                <w:highlight w:val="cyan"/>
                <w:lang w:val="fr-FR"/>
              </w:rPr>
              <w:t>Solde des recettes et des dépenses</w:t>
            </w:r>
            <w:r w:rsidR="00620BDE" w:rsidRPr="006929FA">
              <w:rPr>
                <w:rFonts w:ascii="Times New Roman" w:hAnsi="Times New Roman" w:cs="Times New Roman"/>
                <w:b/>
                <w:color w:val="FF0000"/>
                <w:sz w:val="12"/>
                <w:lang w:val="fr-FR"/>
              </w:rPr>
              <w:t xml:space="preserve"> </w:t>
            </w:r>
            <w:r w:rsidR="00620BDE" w:rsidRPr="0012381C">
              <w:rPr>
                <w:rFonts w:ascii="Times New Roman" w:hAnsi="Times New Roman" w:cs="Times New Roman"/>
                <w:b/>
                <w:color w:val="000000" w:themeColor="text1"/>
                <w:sz w:val="12"/>
                <w:lang w:val="fr-FR"/>
              </w:rPr>
              <w:t>ordinaire</w:t>
            </w:r>
            <w:r w:rsidRPr="0012381C">
              <w:rPr>
                <w:rFonts w:ascii="Times New Roman" w:hAnsi="Times New Roman" w:cs="Times New Roman"/>
                <w:b/>
                <w:color w:val="000000" w:themeColor="text1"/>
                <w:sz w:val="12"/>
                <w:lang w:val="fr-FR"/>
              </w:rPr>
              <w:t>s</w:t>
            </w:r>
            <w:r w:rsidR="003A6BA3" w:rsidRPr="0012381C">
              <w:rPr>
                <w:rFonts w:ascii="Times New Roman" w:hAnsi="Times New Roman" w:cs="Times New Roman"/>
                <w:b/>
                <w:color w:val="000000" w:themeColor="text1"/>
                <w:sz w:val="12"/>
                <w:lang w:val="fr-FR"/>
              </w:rPr>
              <w:t xml:space="preserve"> </w:t>
            </w:r>
            <w:r w:rsidR="00620BDE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aux fins de la couverture d’investissements pluriannuels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57226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left="77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46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215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507,61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left="71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129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117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503,56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6A" w:rsidRPr="006929FA" w:rsidRDefault="003A6BA3">
            <w:pPr>
              <w:pStyle w:val="TableParagraph"/>
              <w:spacing w:before="29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107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822</w:t>
            </w:r>
            <w:r w:rsidR="001456E8"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Pr="006929FA">
              <w:rPr>
                <w:rFonts w:ascii="Times New Roman" w:hAnsi="Times New Roman" w:cs="Times New Roman"/>
                <w:b/>
                <w:sz w:val="12"/>
                <w:lang w:val="fr-FR"/>
              </w:rPr>
              <w:t>554,06</w:t>
            </w:r>
          </w:p>
        </w:tc>
      </w:tr>
    </w:tbl>
    <w:p w:rsidR="0057226A" w:rsidRPr="006929FA" w:rsidRDefault="0057226A">
      <w:pPr>
        <w:rPr>
          <w:rFonts w:ascii="Times New Roman" w:eastAsia="Times New Roman" w:hAnsi="Times New Roman" w:cs="Times New Roman"/>
          <w:sz w:val="12"/>
          <w:szCs w:val="12"/>
          <w:lang w:val="fr-FR"/>
        </w:rPr>
        <w:sectPr w:rsidR="0057226A" w:rsidRPr="006929FA">
          <w:type w:val="continuous"/>
          <w:pgSz w:w="11910" w:h="16840"/>
          <w:pgMar w:top="300" w:right="260" w:bottom="320" w:left="260" w:header="720" w:footer="720" w:gutter="0"/>
          <w:cols w:space="720"/>
        </w:sectPr>
      </w:pPr>
    </w:p>
    <w:p w:rsidR="005431BA" w:rsidRPr="006929FA" w:rsidRDefault="003A6BA3" w:rsidP="000B32A2">
      <w:pPr>
        <w:pStyle w:val="Corpsdetexte"/>
        <w:spacing w:before="67" w:line="136" w:lineRule="exact"/>
        <w:ind w:left="138" w:right="2178" w:firstLine="0"/>
        <w:rPr>
          <w:rFonts w:cs="Times New Roman"/>
          <w:lang w:val="fr-FR"/>
        </w:rPr>
      </w:pPr>
      <w:r w:rsidRPr="006929FA">
        <w:rPr>
          <w:rFonts w:cs="Times New Roman"/>
          <w:lang w:val="fr-FR"/>
        </w:rPr>
        <w:lastRenderedPageBreak/>
        <w:t xml:space="preserve">(*)    </w:t>
      </w:r>
      <w:r w:rsidR="005431BA" w:rsidRPr="006929FA">
        <w:rPr>
          <w:rFonts w:cs="Times New Roman"/>
          <w:lang w:val="fr-FR"/>
        </w:rPr>
        <w:t>Indiquer les années de référence</w:t>
      </w:r>
      <w:r w:rsidR="000B32A2">
        <w:rPr>
          <w:rFonts w:cs="Times New Roman"/>
          <w:lang w:val="fr-FR"/>
        </w:rPr>
        <w:t xml:space="preserve"> : </w:t>
      </w:r>
      <w:r w:rsidR="005431BA" w:rsidRPr="006929FA">
        <w:rPr>
          <w:rFonts w:cs="Times New Roman"/>
          <w:lang w:val="fr-FR"/>
        </w:rPr>
        <w:t>2022, 2023 et 2024</w:t>
      </w:r>
    </w:p>
    <w:p w:rsidR="005431BA" w:rsidRPr="006929FA" w:rsidRDefault="005431BA" w:rsidP="00B66E1B">
      <w:pPr>
        <w:pStyle w:val="Corpsdetexte"/>
        <w:spacing w:before="67" w:line="136" w:lineRule="exact"/>
        <w:ind w:left="138" w:right="2178" w:firstLine="0"/>
        <w:rPr>
          <w:rFonts w:cs="Times New Roman"/>
          <w:lang w:val="fr-FR"/>
        </w:rPr>
      </w:pPr>
    </w:p>
    <w:p w:rsidR="005431BA" w:rsidRPr="006929FA" w:rsidRDefault="003A6BA3" w:rsidP="00506A51">
      <w:pPr>
        <w:pStyle w:val="Corpsdetexte"/>
        <w:spacing w:before="3" w:line="134" w:lineRule="exact"/>
        <w:ind w:right="2178" w:hanging="325"/>
        <w:jc w:val="both"/>
        <w:rPr>
          <w:rFonts w:cs="Times New Roman"/>
          <w:lang w:val="fr-FR"/>
        </w:rPr>
      </w:pPr>
      <w:r w:rsidRPr="006929FA">
        <w:rPr>
          <w:rFonts w:cs="Times New Roman"/>
          <w:lang w:val="fr-FR"/>
        </w:rPr>
        <w:t>(**)</w:t>
      </w:r>
      <w:r w:rsidRPr="006929FA">
        <w:rPr>
          <w:rFonts w:cs="Times New Roman"/>
          <w:spacing w:val="5"/>
          <w:lang w:val="fr-FR"/>
        </w:rPr>
        <w:t xml:space="preserve"> </w:t>
      </w:r>
      <w:r w:rsidR="00506A51">
        <w:rPr>
          <w:rFonts w:cs="Times New Roman"/>
          <w:spacing w:val="5"/>
          <w:lang w:val="fr-FR"/>
        </w:rPr>
        <w:tab/>
      </w:r>
      <w:r w:rsidR="005431BA" w:rsidRPr="006929FA">
        <w:rPr>
          <w:rFonts w:cs="Times New Roman"/>
          <w:lang w:val="fr-FR"/>
        </w:rPr>
        <w:t>Lors de l’appro</w:t>
      </w:r>
      <w:r w:rsidR="000B32A2">
        <w:rPr>
          <w:rFonts w:cs="Times New Roman"/>
          <w:lang w:val="fr-FR"/>
        </w:rPr>
        <w:t>bation du budget prévisionnel, seule</w:t>
      </w:r>
      <w:r w:rsidR="005431BA" w:rsidRPr="006929FA">
        <w:rPr>
          <w:rFonts w:cs="Times New Roman"/>
          <w:lang w:val="fr-FR"/>
        </w:rPr>
        <w:t xml:space="preserve"> la part à affectation obligatoire de l’excédent présumé</w:t>
      </w:r>
      <w:r w:rsidR="000B32A2">
        <w:rPr>
          <w:rFonts w:cs="Times New Roman"/>
          <w:lang w:val="fr-FR"/>
        </w:rPr>
        <w:t xml:space="preserve"> peut être utilisée</w:t>
      </w:r>
      <w:r w:rsidR="005431BA" w:rsidRPr="006929FA">
        <w:rPr>
          <w:rFonts w:cs="Times New Roman"/>
          <w:lang w:val="fr-FR"/>
        </w:rPr>
        <w:t xml:space="preserve">. Au cours de l’exercice, il est également possible d’utiliser la </w:t>
      </w:r>
      <w:r w:rsidR="005431BA" w:rsidRPr="00FF3EA5">
        <w:rPr>
          <w:rFonts w:cs="Times New Roman"/>
          <w:lang w:val="fr-FR"/>
        </w:rPr>
        <w:t xml:space="preserve">part </w:t>
      </w:r>
      <w:r w:rsidR="005431BA" w:rsidRPr="00FF3EA5">
        <w:rPr>
          <w:rFonts w:cs="Times New Roman"/>
          <w:highlight w:val="green"/>
          <w:lang w:val="fr-FR"/>
        </w:rPr>
        <w:t xml:space="preserve">mise en </w:t>
      </w:r>
      <w:r w:rsidR="00FF3EA5" w:rsidRPr="00FF3EA5">
        <w:rPr>
          <w:rFonts w:cs="Times New Roman"/>
          <w:highlight w:val="green"/>
          <w:lang w:val="fr-FR"/>
        </w:rPr>
        <w:t>réserve</w:t>
      </w:r>
      <w:r w:rsidR="00BB22EA" w:rsidRPr="006929FA">
        <w:rPr>
          <w:rFonts w:cs="Times New Roman"/>
          <w:lang w:val="fr-FR"/>
        </w:rPr>
        <w:t xml:space="preserve"> si le budget est approuvé à la </w:t>
      </w:r>
      <w:r w:rsidR="00B66E1B" w:rsidRPr="006929FA">
        <w:rPr>
          <w:rFonts w:cs="Times New Roman"/>
          <w:lang w:val="fr-FR"/>
        </w:rPr>
        <w:t>suite de la vérification, prévue</w:t>
      </w:r>
      <w:r w:rsidR="00BB22EA" w:rsidRPr="006929FA">
        <w:rPr>
          <w:rFonts w:cs="Times New Roman"/>
          <w:lang w:val="fr-FR"/>
        </w:rPr>
        <w:t xml:space="preserve"> par </w:t>
      </w:r>
      <w:r w:rsidR="00B66E1B" w:rsidRPr="006929FA">
        <w:rPr>
          <w:rFonts w:cs="Times New Roman"/>
          <w:lang w:val="fr-FR"/>
        </w:rPr>
        <w:t>le neuvième alinéa de l’art. 42</w:t>
      </w:r>
      <w:r w:rsidR="009605A0">
        <w:rPr>
          <w:rFonts w:cs="Times New Roman"/>
          <w:lang w:val="fr-FR"/>
        </w:rPr>
        <w:t xml:space="preserve"> </w:t>
      </w:r>
      <w:r w:rsidR="009605A0" w:rsidRPr="00506A51">
        <w:rPr>
          <w:rFonts w:cs="Times New Roman"/>
          <w:color w:val="FF0000"/>
          <w:lang w:val="fr-FR"/>
        </w:rPr>
        <w:t>du décrét législatif n° 118 du 23 juin 2011</w:t>
      </w:r>
      <w:r w:rsidR="00B66E1B" w:rsidRPr="006929FA">
        <w:rPr>
          <w:rFonts w:cs="Times New Roman"/>
          <w:lang w:val="fr-FR"/>
        </w:rPr>
        <w:t xml:space="preserve">, </w:t>
      </w:r>
      <w:r w:rsidR="00B66E1B" w:rsidRPr="006929FA">
        <w:rPr>
          <w:rFonts w:cs="Times New Roman"/>
          <w:color w:val="FF0000"/>
          <w:lang w:val="fr-FR"/>
        </w:rPr>
        <w:t>du</w:t>
      </w:r>
      <w:r w:rsidR="00B66E1B" w:rsidRPr="006929FA">
        <w:rPr>
          <w:rFonts w:cs="Times New Roman"/>
          <w:lang w:val="fr-FR"/>
        </w:rPr>
        <w:t xml:space="preserve"> récapitulatif relatif à l’excédent présumé de l’année précédente</w:t>
      </w:r>
      <w:r w:rsidR="009605A0">
        <w:rPr>
          <w:rFonts w:cs="Times New Roman"/>
          <w:lang w:val="fr-FR"/>
        </w:rPr>
        <w:t>,</w:t>
      </w:r>
      <w:r w:rsidR="00B66E1B" w:rsidRPr="006929FA">
        <w:rPr>
          <w:rFonts w:cs="Times New Roman"/>
          <w:lang w:val="fr-FR"/>
        </w:rPr>
        <w:t xml:space="preserve"> actualisé sur la base des comptes </w:t>
      </w:r>
      <w:r w:rsidR="00B72D86">
        <w:rPr>
          <w:rFonts w:cs="Times New Roman"/>
          <w:lang w:val="fr-FR"/>
        </w:rPr>
        <w:t xml:space="preserve">provisoires </w:t>
      </w:r>
      <w:r w:rsidR="00B66E1B" w:rsidRPr="006929FA">
        <w:rPr>
          <w:rFonts w:cs="Times New Roman"/>
          <w:lang w:val="fr-FR"/>
        </w:rPr>
        <w:t xml:space="preserve">de l’exercice précédent. Il est également possible </w:t>
      </w:r>
      <w:r w:rsidR="00913476" w:rsidRPr="006929FA">
        <w:rPr>
          <w:rFonts w:cs="Times New Roman"/>
          <w:lang w:val="fr-FR"/>
        </w:rPr>
        <w:t>d’utiliser la part destinée aux investiss</w:t>
      </w:r>
      <w:r w:rsidR="002618B0" w:rsidRPr="006929FA">
        <w:rPr>
          <w:rFonts w:cs="Times New Roman"/>
          <w:lang w:val="fr-FR"/>
        </w:rPr>
        <w:t>ements, ainsi que la part à affectation non obligatoire de l’excédent de l’année précédente</w:t>
      </w:r>
      <w:r w:rsidR="00B72D86">
        <w:rPr>
          <w:rFonts w:cs="Times New Roman"/>
          <w:lang w:val="fr-FR"/>
        </w:rPr>
        <w:t>,</w:t>
      </w:r>
      <w:r w:rsidR="002618B0" w:rsidRPr="006929FA">
        <w:rPr>
          <w:rFonts w:cs="Times New Roman"/>
          <w:lang w:val="fr-FR"/>
        </w:rPr>
        <w:t xml:space="preserve"> à la suite</w:t>
      </w:r>
      <w:r w:rsidR="00B72D86">
        <w:rPr>
          <w:rFonts w:cs="Times New Roman"/>
          <w:lang w:val="fr-FR"/>
        </w:rPr>
        <w:t xml:space="preserve"> de</w:t>
      </w:r>
      <w:r w:rsidR="002618B0" w:rsidRPr="006929FA">
        <w:rPr>
          <w:rFonts w:cs="Times New Roman"/>
          <w:lang w:val="fr-FR"/>
        </w:rPr>
        <w:t xml:space="preserve"> l’approbation des comptes de celle-ci. Ce poste comprend également l’utilisation du fonds prévu par le</w:t>
      </w:r>
      <w:r w:rsidR="00B72D86">
        <w:rPr>
          <w:rFonts w:cs="Times New Roman"/>
          <w:lang w:val="fr-FR"/>
        </w:rPr>
        <w:t xml:space="preserve"> </w:t>
      </w:r>
      <w:r w:rsidR="00B72D86" w:rsidRPr="00506A51">
        <w:rPr>
          <w:rFonts w:cs="Times New Roman"/>
          <w:color w:val="FF0000"/>
          <w:lang w:val="fr-FR"/>
        </w:rPr>
        <w:t>décret</w:t>
      </w:r>
      <w:r w:rsidR="003B013C" w:rsidRPr="00506A51">
        <w:rPr>
          <w:rFonts w:cs="Times New Roman"/>
          <w:color w:val="FF0000"/>
          <w:lang w:val="fr-FR"/>
        </w:rPr>
        <w:t xml:space="preserve">-loi </w:t>
      </w:r>
      <w:r w:rsidR="002618B0" w:rsidRPr="00506A51">
        <w:rPr>
          <w:rFonts w:cs="Times New Roman"/>
          <w:color w:val="FF0000"/>
          <w:lang w:val="fr-FR"/>
        </w:rPr>
        <w:t>n° 35</w:t>
      </w:r>
      <w:r w:rsidR="003B013C" w:rsidRPr="00506A51">
        <w:rPr>
          <w:rFonts w:cs="Times New Roman"/>
          <w:color w:val="FF0000"/>
          <w:lang w:val="fr-FR"/>
        </w:rPr>
        <w:t xml:space="preserve"> du </w:t>
      </w:r>
      <w:r w:rsidR="00506A51" w:rsidRPr="00506A51">
        <w:rPr>
          <w:rFonts w:cs="Times New Roman"/>
          <w:color w:val="FF0000"/>
          <w:lang w:val="fr-FR"/>
        </w:rPr>
        <w:t>8 avril 2013</w:t>
      </w:r>
      <w:r w:rsidR="00506A51">
        <w:rPr>
          <w:rFonts w:cs="Times New Roman"/>
          <w:color w:val="FF0000"/>
          <w:lang w:val="fr-FR"/>
        </w:rPr>
        <w:t>.</w:t>
      </w:r>
    </w:p>
    <w:p w:rsidR="00072A2F" w:rsidRPr="006929FA" w:rsidRDefault="00072A2F" w:rsidP="00B66E1B">
      <w:pPr>
        <w:pStyle w:val="Corpsdetexte"/>
        <w:spacing w:before="3" w:line="134" w:lineRule="exact"/>
        <w:ind w:right="2178" w:hanging="325"/>
        <w:jc w:val="both"/>
        <w:rPr>
          <w:rFonts w:cs="Times New Roman"/>
          <w:lang w:val="fr-FR"/>
        </w:rPr>
      </w:pPr>
    </w:p>
    <w:p w:rsidR="00FF0440" w:rsidRPr="00506A51" w:rsidRDefault="00FF0440" w:rsidP="00506A51">
      <w:pPr>
        <w:pStyle w:val="Corpsdetexte"/>
        <w:numPr>
          <w:ilvl w:val="0"/>
          <w:numId w:val="1"/>
        </w:numPr>
        <w:tabs>
          <w:tab w:val="left" w:pos="434"/>
        </w:tabs>
        <w:spacing w:line="131" w:lineRule="exact"/>
        <w:ind w:right="2178"/>
        <w:jc w:val="both"/>
        <w:rPr>
          <w:rFonts w:cs="Times New Roman"/>
          <w:lang w:val="fr-FR"/>
        </w:rPr>
      </w:pPr>
      <w:r w:rsidRPr="00506A51">
        <w:rPr>
          <w:rFonts w:cs="Times New Roman"/>
          <w:lang w:val="fr-FR"/>
        </w:rPr>
        <w:t>À l’exclusion du déficit découlant de</w:t>
      </w:r>
      <w:r w:rsidR="00506A51" w:rsidRPr="00506A51">
        <w:rPr>
          <w:rFonts w:cs="Times New Roman"/>
          <w:lang w:val="fr-FR"/>
        </w:rPr>
        <w:t>s</w:t>
      </w:r>
      <w:r w:rsidRPr="00506A51">
        <w:rPr>
          <w:rFonts w:cs="Times New Roman"/>
          <w:lang w:val="fr-FR"/>
        </w:rPr>
        <w:t xml:space="preserve"> dette</w:t>
      </w:r>
      <w:r w:rsidR="00506A51" w:rsidRPr="00506A51">
        <w:rPr>
          <w:rFonts w:cs="Times New Roman"/>
          <w:lang w:val="fr-FR"/>
        </w:rPr>
        <w:t>s</w:t>
      </w:r>
      <w:r w:rsidRPr="00506A51">
        <w:rPr>
          <w:rFonts w:cs="Times New Roman"/>
          <w:lang w:val="fr-FR"/>
        </w:rPr>
        <w:t xml:space="preserve"> autorisée</w:t>
      </w:r>
      <w:r w:rsidR="00506A51" w:rsidRPr="00506A51">
        <w:rPr>
          <w:rFonts w:cs="Times New Roman"/>
          <w:lang w:val="fr-FR"/>
        </w:rPr>
        <w:t>s</w:t>
      </w:r>
      <w:r w:rsidRPr="00506A51">
        <w:rPr>
          <w:rFonts w:cs="Times New Roman"/>
          <w:lang w:val="fr-FR"/>
        </w:rPr>
        <w:t xml:space="preserve"> et non contractée</w:t>
      </w:r>
      <w:r w:rsidR="00506A51" w:rsidRPr="00506A51">
        <w:rPr>
          <w:rFonts w:cs="Times New Roman"/>
          <w:lang w:val="fr-FR"/>
        </w:rPr>
        <w:t>s</w:t>
      </w:r>
      <w:r w:rsidRPr="00506A51">
        <w:rPr>
          <w:rFonts w:cs="Times New Roman"/>
          <w:lang w:val="fr-FR"/>
        </w:rPr>
        <w:t xml:space="preserve">. </w:t>
      </w:r>
      <w:r w:rsidR="002618B0" w:rsidRPr="00506A51">
        <w:rPr>
          <w:rFonts w:cs="Times New Roman"/>
          <w:lang w:val="fr-FR"/>
        </w:rPr>
        <w:t>Ce poste</w:t>
      </w:r>
      <w:r w:rsidRPr="00506A51">
        <w:rPr>
          <w:rFonts w:cs="Times New Roman"/>
          <w:lang w:val="fr-FR"/>
        </w:rPr>
        <w:t xml:space="preserve"> correspond au premier poste des comptes relatifs aux dépenses.</w:t>
      </w:r>
    </w:p>
    <w:p w:rsidR="0057226A" w:rsidRPr="00885BD2" w:rsidRDefault="00885BD2" w:rsidP="00885BD2">
      <w:pPr>
        <w:pStyle w:val="Corpsdetexte"/>
        <w:numPr>
          <w:ilvl w:val="0"/>
          <w:numId w:val="1"/>
        </w:numPr>
        <w:tabs>
          <w:tab w:val="left" w:pos="434"/>
        </w:tabs>
        <w:spacing w:before="120"/>
        <w:ind w:right="2177"/>
        <w:jc w:val="both"/>
        <w:rPr>
          <w:rFonts w:cs="Times New Roman"/>
          <w:lang w:val="fr-FR"/>
        </w:rPr>
      </w:pPr>
      <w:r w:rsidRPr="006929FA">
        <w:rPr>
          <w:rFonts w:cs="Times New Roman"/>
          <w:lang w:val="fr-FR"/>
        </w:rPr>
        <w:t>Elles correspond</w:t>
      </w:r>
      <w:r>
        <w:rPr>
          <w:rFonts w:cs="Times New Roman"/>
          <w:lang w:val="fr-FR"/>
        </w:rPr>
        <w:t>e</w:t>
      </w:r>
      <w:r w:rsidRPr="006929FA">
        <w:rPr>
          <w:rFonts w:cs="Times New Roman"/>
          <w:lang w:val="fr-FR"/>
        </w:rPr>
        <w:t>nt aux recettes en capital relatives uniquement aux aides aux investissements destinées au remboursement des prêts qui figurent au</w:t>
      </w:r>
      <w:r>
        <w:rPr>
          <w:rFonts w:cs="Times New Roman"/>
          <w:lang w:val="fr-FR"/>
        </w:rPr>
        <w:t xml:space="preserve"> </w:t>
      </w:r>
      <w:r w:rsidRPr="006929FA">
        <w:rPr>
          <w:rFonts w:cs="Times New Roman"/>
          <w:lang w:val="fr-FR"/>
        </w:rPr>
        <w:t xml:space="preserve">plan du compte financier </w:t>
      </w:r>
      <w:r>
        <w:rPr>
          <w:rFonts w:cs="Times New Roman"/>
          <w:lang w:val="fr-FR"/>
        </w:rPr>
        <w:t xml:space="preserve">sous </w:t>
      </w:r>
      <w:r w:rsidRPr="006929FA">
        <w:rPr>
          <w:rFonts w:cs="Times New Roman"/>
          <w:lang w:val="fr-FR"/>
        </w:rPr>
        <w:t>le code E</w:t>
      </w:r>
      <w:r>
        <w:rPr>
          <w:rFonts w:cs="Times New Roman"/>
          <w:lang w:val="fr-FR"/>
        </w:rPr>
        <w:t>.</w:t>
      </w:r>
      <w:r w:rsidRPr="006929FA">
        <w:rPr>
          <w:rFonts w:cs="Times New Roman"/>
          <w:lang w:val="fr-FR"/>
        </w:rPr>
        <w:t>4</w:t>
      </w:r>
      <w:r>
        <w:rPr>
          <w:rFonts w:cs="Times New Roman"/>
          <w:lang w:val="fr-FR"/>
        </w:rPr>
        <w:t>.</w:t>
      </w:r>
      <w:r w:rsidRPr="006929FA">
        <w:rPr>
          <w:rFonts w:cs="Times New Roman"/>
          <w:lang w:val="fr-FR"/>
        </w:rPr>
        <w:t>02</w:t>
      </w:r>
      <w:r>
        <w:rPr>
          <w:rFonts w:cs="Times New Roman"/>
          <w:lang w:val="fr-FR"/>
        </w:rPr>
        <w:t>.</w:t>
      </w:r>
      <w:r w:rsidRPr="006929FA">
        <w:rPr>
          <w:rFonts w:cs="Times New Roman"/>
          <w:lang w:val="fr-FR"/>
        </w:rPr>
        <w:t>06</w:t>
      </w:r>
      <w:r>
        <w:rPr>
          <w:rFonts w:cs="Times New Roman"/>
          <w:lang w:val="fr-FR"/>
        </w:rPr>
        <w:t>.</w:t>
      </w:r>
      <w:r w:rsidRPr="006929FA">
        <w:rPr>
          <w:rFonts w:cs="Times New Roman"/>
          <w:lang w:val="fr-FR"/>
        </w:rPr>
        <w:t>00</w:t>
      </w:r>
      <w:r>
        <w:rPr>
          <w:rFonts w:cs="Times New Roman"/>
          <w:lang w:val="fr-FR"/>
        </w:rPr>
        <w:t>.</w:t>
      </w:r>
      <w:r w:rsidRPr="006929FA">
        <w:rPr>
          <w:rFonts w:cs="Times New Roman"/>
          <w:lang w:val="fr-FR"/>
        </w:rPr>
        <w:t>000</w:t>
      </w:r>
      <w:r>
        <w:rPr>
          <w:rFonts w:cs="Times New Roman"/>
          <w:lang w:val="fr-FR"/>
        </w:rPr>
        <w:t>.</w:t>
      </w:r>
    </w:p>
    <w:p w:rsidR="00456936" w:rsidRPr="006929FA" w:rsidRDefault="00456936" w:rsidP="00045FC7">
      <w:pPr>
        <w:pStyle w:val="Corpsdetexte"/>
        <w:tabs>
          <w:tab w:val="left" w:pos="434"/>
        </w:tabs>
        <w:spacing w:line="134" w:lineRule="exact"/>
        <w:ind w:right="2178" w:firstLine="0"/>
        <w:jc w:val="both"/>
        <w:rPr>
          <w:rFonts w:cs="Times New Roman"/>
          <w:lang w:val="fr-FR"/>
        </w:rPr>
      </w:pPr>
    </w:p>
    <w:p w:rsidR="00456936" w:rsidRPr="009A6B4E" w:rsidRDefault="00456936" w:rsidP="009A6B4E">
      <w:pPr>
        <w:pStyle w:val="Corpsdetexte"/>
        <w:numPr>
          <w:ilvl w:val="0"/>
          <w:numId w:val="1"/>
        </w:numPr>
        <w:tabs>
          <w:tab w:val="left" w:pos="434"/>
        </w:tabs>
        <w:spacing w:line="134" w:lineRule="exact"/>
        <w:ind w:right="2178"/>
        <w:jc w:val="both"/>
        <w:rPr>
          <w:rFonts w:cs="Times New Roman"/>
          <w:lang w:val="fr-FR"/>
        </w:rPr>
      </w:pPr>
      <w:r w:rsidRPr="009A6B4E">
        <w:rPr>
          <w:rFonts w:cs="Times New Roman"/>
          <w:lang w:val="fr-FR"/>
        </w:rPr>
        <w:t xml:space="preserve">Les recettes découlant de la cession de biens immeubles peuvent être destinées au remboursement anticipé de prêts – </w:t>
      </w:r>
      <w:r w:rsidR="00371A07" w:rsidRPr="009A6B4E">
        <w:rPr>
          <w:rFonts w:cs="Times New Roman"/>
          <w:lang w:val="fr-FR"/>
        </w:rPr>
        <w:t>P</w:t>
      </w:r>
      <w:r w:rsidRPr="009A6B4E">
        <w:rPr>
          <w:rFonts w:cs="Times New Roman"/>
          <w:lang w:val="fr-FR"/>
        </w:rPr>
        <w:t>rincipe appliqu</w:t>
      </w:r>
      <w:r w:rsidR="00371A07" w:rsidRPr="009A6B4E">
        <w:rPr>
          <w:rFonts w:cs="Times New Roman"/>
          <w:lang w:val="fr-FR"/>
        </w:rPr>
        <w:t>é de</w:t>
      </w:r>
      <w:r w:rsidRPr="009A6B4E">
        <w:rPr>
          <w:rFonts w:cs="Times New Roman"/>
          <w:lang w:val="fr-FR"/>
        </w:rPr>
        <w:t xml:space="preserve"> la comptabilité financière 3</w:t>
      </w:r>
      <w:r w:rsidR="00371A07" w:rsidRPr="009A6B4E">
        <w:rPr>
          <w:rFonts w:cs="Times New Roman"/>
          <w:lang w:val="fr-FR"/>
        </w:rPr>
        <w:t>.</w:t>
      </w:r>
      <w:r w:rsidRPr="009A6B4E">
        <w:rPr>
          <w:rFonts w:cs="Times New Roman"/>
          <w:lang w:val="fr-FR"/>
        </w:rPr>
        <w:t>13</w:t>
      </w:r>
      <w:r w:rsidR="00371A07" w:rsidRPr="009A6B4E">
        <w:rPr>
          <w:rFonts w:cs="Times New Roman"/>
          <w:lang w:val="fr-FR"/>
        </w:rPr>
        <w:t>.</w:t>
      </w:r>
    </w:p>
    <w:p w:rsidR="00456936" w:rsidRPr="006929FA" w:rsidRDefault="00456936" w:rsidP="00045FC7">
      <w:pPr>
        <w:pStyle w:val="Corpsdetexte"/>
        <w:tabs>
          <w:tab w:val="left" w:pos="434"/>
        </w:tabs>
        <w:spacing w:line="134" w:lineRule="exact"/>
        <w:ind w:right="2178" w:firstLine="0"/>
        <w:jc w:val="both"/>
        <w:rPr>
          <w:rFonts w:cs="Times New Roman"/>
          <w:lang w:val="fr-FR"/>
        </w:rPr>
      </w:pPr>
    </w:p>
    <w:p w:rsidR="0057226A" w:rsidRPr="006929FA" w:rsidRDefault="00994A05" w:rsidP="00045FC7">
      <w:pPr>
        <w:pStyle w:val="Corpsdetexte"/>
        <w:numPr>
          <w:ilvl w:val="0"/>
          <w:numId w:val="1"/>
        </w:numPr>
        <w:tabs>
          <w:tab w:val="left" w:pos="434"/>
        </w:tabs>
        <w:spacing w:before="3" w:line="134" w:lineRule="exact"/>
        <w:ind w:right="2178"/>
        <w:jc w:val="both"/>
        <w:rPr>
          <w:rFonts w:cs="Times New Roman"/>
          <w:lang w:val="fr-FR"/>
        </w:rPr>
      </w:pPr>
      <w:r w:rsidRPr="006929FA">
        <w:rPr>
          <w:rFonts w:cs="Times New Roman"/>
          <w:lang w:val="fr-FR"/>
        </w:rPr>
        <w:t xml:space="preserve">Les dépenses ordinaires financées par des recettes à </w:t>
      </w:r>
      <w:r>
        <w:rPr>
          <w:rFonts w:cs="Times New Roman"/>
          <w:lang w:val="fr-FR"/>
        </w:rPr>
        <w:t>affectation</w:t>
      </w:r>
      <w:r w:rsidRPr="006929FA">
        <w:rPr>
          <w:rFonts w:cs="Times New Roman"/>
          <w:lang w:val="fr-FR"/>
        </w:rPr>
        <w:t xml:space="preserve"> obligatoire comprennent celles financées par </w:t>
      </w:r>
      <w:r>
        <w:rPr>
          <w:rFonts w:cs="Times New Roman"/>
          <w:lang w:val="fr-FR"/>
        </w:rPr>
        <w:t>l</w:t>
      </w:r>
      <w:r w:rsidRPr="006929FA">
        <w:rPr>
          <w:rFonts w:cs="Times New Roman"/>
          <w:lang w:val="fr-FR"/>
        </w:rPr>
        <w:t xml:space="preserve">es recettes à affectation obligatoire constatées au cours de l’exercice </w:t>
      </w:r>
      <w:r w:rsidRPr="006929FA">
        <w:rPr>
          <w:rFonts w:cs="Times New Roman"/>
          <w:color w:val="FF0000"/>
          <w:lang w:val="fr-FR"/>
        </w:rPr>
        <w:t>et</w:t>
      </w:r>
      <w:r w:rsidRPr="006929FA">
        <w:rPr>
          <w:rFonts w:cs="Times New Roman"/>
          <w:lang w:val="fr-FR"/>
        </w:rPr>
        <w:t xml:space="preserve"> par le fonds pluriannuel à affectation obligatoi</w:t>
      </w:r>
      <w:r w:rsidRPr="00A202B5">
        <w:rPr>
          <w:rFonts w:cs="Times New Roman"/>
          <w:color w:val="000000" w:themeColor="text1"/>
          <w:lang w:val="fr-FR"/>
        </w:rPr>
        <w:t>re de la partie recettes.</w:t>
      </w:r>
      <w:r w:rsidRPr="006929FA">
        <w:rPr>
          <w:rFonts w:cs="Times New Roman"/>
          <w:lang w:val="fr-FR"/>
        </w:rPr>
        <w:t xml:space="preserve"> </w:t>
      </w:r>
      <w:r w:rsidRPr="00A202B5">
        <w:rPr>
          <w:rFonts w:cs="Times New Roman"/>
          <w:color w:val="000000" w:themeColor="text1"/>
          <w:lang w:val="fr-FR"/>
        </w:rPr>
        <w:t>Les crédits relatifs aux dépenses et pris en compte dans le poste comprennent les crédits du fonds pluriannuel à affectation obligatoire de la partie dépenses</w:t>
      </w:r>
      <w:r>
        <w:rPr>
          <w:rFonts w:cs="Times New Roman"/>
          <w:color w:val="000000" w:themeColor="text1"/>
          <w:lang w:val="fr-FR"/>
        </w:rPr>
        <w:t>.</w:t>
      </w:r>
    </w:p>
    <w:p w:rsidR="00456936" w:rsidRPr="006929FA" w:rsidRDefault="00456936" w:rsidP="00045FC7">
      <w:pPr>
        <w:pStyle w:val="Corpsdetexte"/>
        <w:tabs>
          <w:tab w:val="left" w:pos="434"/>
        </w:tabs>
        <w:spacing w:before="3" w:line="134" w:lineRule="exact"/>
        <w:ind w:left="0" w:right="2178" w:firstLine="0"/>
        <w:jc w:val="both"/>
        <w:rPr>
          <w:rFonts w:cs="Times New Roman"/>
          <w:lang w:val="fr-FR"/>
        </w:rPr>
      </w:pPr>
    </w:p>
    <w:p w:rsidR="0057226A" w:rsidRPr="006929FA" w:rsidRDefault="006D115E" w:rsidP="00045FC7">
      <w:pPr>
        <w:pStyle w:val="Corpsdetexte"/>
        <w:numPr>
          <w:ilvl w:val="0"/>
          <w:numId w:val="1"/>
        </w:numPr>
        <w:tabs>
          <w:tab w:val="left" w:pos="434"/>
        </w:tabs>
        <w:spacing w:line="134" w:lineRule="exact"/>
        <w:ind w:right="2178"/>
        <w:jc w:val="both"/>
        <w:rPr>
          <w:rFonts w:cs="Times New Roman"/>
          <w:lang w:val="fr-FR"/>
        </w:rPr>
      </w:pPr>
      <w:r w:rsidRPr="006929FA">
        <w:rPr>
          <w:rFonts w:cs="Times New Roman"/>
          <w:lang w:val="fr-FR"/>
        </w:rPr>
        <w:t xml:space="preserve">Pour chaque exercice, le </w:t>
      </w:r>
      <w:r w:rsidRPr="005B3AEF">
        <w:rPr>
          <w:rFonts w:cs="Times New Roman"/>
          <w:lang w:val="fr-FR"/>
        </w:rPr>
        <w:t>solde des recettes et des dépenses ordinaires</w:t>
      </w:r>
      <w:r>
        <w:rPr>
          <w:rFonts w:cs="Times New Roman"/>
          <w:lang w:val="fr-FR"/>
        </w:rPr>
        <w:t xml:space="preserve"> au titre de la</w:t>
      </w:r>
      <w:r w:rsidRPr="006929FA">
        <w:rPr>
          <w:rFonts w:cs="Times New Roman"/>
          <w:lang w:val="fr-FR"/>
        </w:rPr>
        <w:t xml:space="preserve"> comptabilité d’exercice peut servir pour la couverture des investissements imputés aux exercices suivants pour un montant qui ne doit pas dépasser la valeur minimale entre la moyenne des soldes </w:t>
      </w:r>
      <w:r w:rsidRPr="005B3AEF">
        <w:rPr>
          <w:rFonts w:cs="Times New Roman"/>
          <w:lang w:val="fr-FR"/>
        </w:rPr>
        <w:t>des recettes et des dépenses ordinaires</w:t>
      </w:r>
      <w:r>
        <w:rPr>
          <w:rFonts w:cs="Times New Roman"/>
          <w:lang w:val="fr-FR"/>
        </w:rPr>
        <w:t xml:space="preserve"> au titre de la</w:t>
      </w:r>
      <w:r w:rsidRPr="006929FA">
        <w:rPr>
          <w:rFonts w:cs="Times New Roman"/>
          <w:lang w:val="fr-FR"/>
        </w:rPr>
        <w:t xml:space="preserve"> comptabilité d’exercice et la moyenne des soldes </w:t>
      </w:r>
      <w:r w:rsidRPr="005B3AEF">
        <w:rPr>
          <w:rFonts w:cs="Times New Roman"/>
          <w:lang w:val="fr-FR"/>
        </w:rPr>
        <w:t>des recettes et des dépenses ordinaires</w:t>
      </w:r>
      <w:r>
        <w:rPr>
          <w:rFonts w:cs="Times New Roman"/>
          <w:lang w:val="fr-FR"/>
        </w:rPr>
        <w:t xml:space="preserve"> au titre de la</w:t>
      </w:r>
      <w:r w:rsidRPr="006929FA">
        <w:rPr>
          <w:rFonts w:cs="Times New Roman"/>
          <w:lang w:val="fr-FR"/>
        </w:rPr>
        <w:t xml:space="preserve"> comptabilité de caisse enregistrés au cours de trois derniers exercices</w:t>
      </w:r>
      <w:r>
        <w:rPr>
          <w:rFonts w:cs="Times New Roman"/>
          <w:lang w:val="fr-FR"/>
        </w:rPr>
        <w:t xml:space="preserve"> clôturés</w:t>
      </w:r>
      <w:r w:rsidRPr="006929FA">
        <w:rPr>
          <w:rFonts w:cs="Times New Roman"/>
          <w:lang w:val="fr-FR"/>
        </w:rPr>
        <w:t xml:space="preserve">, à condition que les résultats </w:t>
      </w:r>
      <w:r>
        <w:rPr>
          <w:rFonts w:cs="Times New Roman"/>
          <w:lang w:val="fr-FR"/>
        </w:rPr>
        <w:t xml:space="preserve">y afférents </w:t>
      </w:r>
      <w:r w:rsidRPr="006929FA">
        <w:rPr>
          <w:rFonts w:cs="Times New Roman"/>
          <w:lang w:val="fr-FR"/>
        </w:rPr>
        <w:t>soient positifs</w:t>
      </w:r>
      <w:r w:rsidR="00486295">
        <w:rPr>
          <w:rFonts w:cs="Times New Roman"/>
          <w:lang w:val="fr-FR"/>
        </w:rPr>
        <w:t xml:space="preserve"> et</w:t>
      </w:r>
      <w:r w:rsidRPr="006929FA">
        <w:rPr>
          <w:rFonts w:cs="Times New Roman"/>
          <w:lang w:val="fr-FR"/>
        </w:rPr>
        <w:t xml:space="preserve"> déduction faite de l’utilisation de l’excédent, du fonds de caisse et des recettes non récurrentes qui n’ont pas servi à couvrir des </w:t>
      </w:r>
      <w:r w:rsidRPr="006D115E">
        <w:rPr>
          <w:rFonts w:cs="Times New Roman"/>
          <w:highlight w:val="cyan"/>
          <w:lang w:val="fr-FR"/>
        </w:rPr>
        <w:t>engagements ou des paiements obligatoires</w:t>
      </w:r>
      <w:r w:rsidRPr="006929FA">
        <w:rPr>
          <w:rFonts w:cs="Times New Roman"/>
          <w:lang w:val="fr-FR"/>
        </w:rPr>
        <w:t xml:space="preserve"> et des ressources concernant le financement du Service sanitaire </w:t>
      </w:r>
      <w:r w:rsidRPr="006D115E">
        <w:rPr>
          <w:rFonts w:cs="Times New Roman"/>
          <w:color w:val="FF0000"/>
          <w:lang w:val="fr-FR"/>
        </w:rPr>
        <w:t>national</w:t>
      </w:r>
      <w:r>
        <w:rPr>
          <w:rFonts w:cs="Times New Roman"/>
          <w:lang w:val="fr-FR"/>
        </w:rPr>
        <w:t>.</w:t>
      </w:r>
    </w:p>
    <w:p w:rsidR="00FF0440" w:rsidRPr="006929FA" w:rsidRDefault="00FF0440" w:rsidP="00045FC7">
      <w:pPr>
        <w:pStyle w:val="Corpsdetexte"/>
        <w:tabs>
          <w:tab w:val="left" w:pos="434"/>
        </w:tabs>
        <w:spacing w:line="134" w:lineRule="exact"/>
        <w:ind w:right="2178" w:firstLine="0"/>
        <w:jc w:val="both"/>
        <w:rPr>
          <w:rFonts w:cs="Times New Roman"/>
          <w:lang w:val="fr-FR"/>
        </w:rPr>
      </w:pPr>
    </w:p>
    <w:p w:rsidR="0057226A" w:rsidRPr="006929FA" w:rsidRDefault="00486295" w:rsidP="00045FC7">
      <w:pPr>
        <w:pStyle w:val="Corpsdetexte"/>
        <w:numPr>
          <w:ilvl w:val="0"/>
          <w:numId w:val="1"/>
        </w:numPr>
        <w:tabs>
          <w:tab w:val="left" w:pos="434"/>
        </w:tabs>
        <w:spacing w:line="233" w:lineRule="auto"/>
        <w:ind w:right="2178"/>
        <w:jc w:val="both"/>
        <w:rPr>
          <w:rFonts w:cs="Times New Roman"/>
          <w:lang w:val="fr-FR"/>
        </w:rPr>
      </w:pPr>
      <w:r w:rsidRPr="006929FA">
        <w:rPr>
          <w:rFonts w:cs="Times New Roman"/>
          <w:lang w:val="fr-FR"/>
        </w:rPr>
        <w:t xml:space="preserve">Pour chaque exercice, le </w:t>
      </w:r>
      <w:r w:rsidRPr="005B3AEF">
        <w:rPr>
          <w:rFonts w:cs="Times New Roman"/>
          <w:lang w:val="fr-FR"/>
        </w:rPr>
        <w:t>solde des recettes et des dépenses ordinaires</w:t>
      </w:r>
      <w:r>
        <w:rPr>
          <w:rFonts w:cs="Times New Roman"/>
          <w:lang w:val="fr-FR"/>
        </w:rPr>
        <w:t xml:space="preserve"> au titre de la</w:t>
      </w:r>
      <w:r w:rsidRPr="006929FA">
        <w:rPr>
          <w:rFonts w:cs="Times New Roman"/>
          <w:lang w:val="fr-FR"/>
        </w:rPr>
        <w:t xml:space="preserve"> comptabilité d’exercice peut servir pour la couverture des investissements imputés aux exercices suivants pour un montant qui ne doit pas dépasser la moyenne des soldes </w:t>
      </w:r>
      <w:r w:rsidRPr="005B3AEF">
        <w:rPr>
          <w:rFonts w:cs="Times New Roman"/>
          <w:lang w:val="fr-FR"/>
        </w:rPr>
        <w:t>des recettes et des dépenses ordinaires</w:t>
      </w:r>
      <w:r>
        <w:rPr>
          <w:rFonts w:cs="Times New Roman"/>
          <w:lang w:val="fr-FR"/>
        </w:rPr>
        <w:t xml:space="preserve"> au titre de la</w:t>
      </w:r>
      <w:r w:rsidRPr="006929FA">
        <w:rPr>
          <w:rFonts w:cs="Times New Roman"/>
          <w:lang w:val="fr-FR"/>
        </w:rPr>
        <w:t xml:space="preserve"> comptabilité d’exercice enregistrés au cours de trois derniers exercices</w:t>
      </w:r>
      <w:r>
        <w:rPr>
          <w:rFonts w:cs="Times New Roman"/>
          <w:lang w:val="fr-FR"/>
        </w:rPr>
        <w:t xml:space="preserve"> clôturés</w:t>
      </w:r>
      <w:r w:rsidRPr="006929FA">
        <w:rPr>
          <w:rFonts w:cs="Times New Roman"/>
          <w:lang w:val="fr-FR"/>
        </w:rPr>
        <w:t xml:space="preserve">, à condition que les résultats </w:t>
      </w:r>
      <w:r>
        <w:rPr>
          <w:rFonts w:cs="Times New Roman"/>
          <w:lang w:val="fr-FR"/>
        </w:rPr>
        <w:t xml:space="preserve">y afférents </w:t>
      </w:r>
      <w:r w:rsidRPr="006929FA">
        <w:rPr>
          <w:rFonts w:cs="Times New Roman"/>
          <w:lang w:val="fr-FR"/>
        </w:rPr>
        <w:t>soient positifs</w:t>
      </w:r>
      <w:r>
        <w:rPr>
          <w:rFonts w:cs="Times New Roman"/>
          <w:lang w:val="fr-FR"/>
        </w:rPr>
        <w:t xml:space="preserve"> et</w:t>
      </w:r>
      <w:r w:rsidRPr="006929FA">
        <w:rPr>
          <w:rFonts w:cs="Times New Roman"/>
          <w:lang w:val="fr-FR"/>
        </w:rPr>
        <w:t xml:space="preserve"> déduction faite de l’utilisation de l’excédent et des recettes non récurrentes qui n’ont pas servi à couvrir des </w:t>
      </w:r>
      <w:r w:rsidRPr="00486295">
        <w:rPr>
          <w:rFonts w:cs="Times New Roman"/>
          <w:lang w:val="fr-FR"/>
        </w:rPr>
        <w:t>engagements</w:t>
      </w:r>
    </w:p>
    <w:p w:rsidR="00EC2936" w:rsidRPr="006929FA" w:rsidRDefault="00EC2936" w:rsidP="00EC2936">
      <w:pPr>
        <w:pStyle w:val="Corpsdetexte"/>
        <w:numPr>
          <w:ilvl w:val="0"/>
          <w:numId w:val="1"/>
        </w:numPr>
        <w:tabs>
          <w:tab w:val="left" w:pos="434"/>
        </w:tabs>
        <w:spacing w:before="120"/>
        <w:ind w:right="2177"/>
        <w:jc w:val="both"/>
        <w:rPr>
          <w:rFonts w:cs="Times New Roman"/>
          <w:lang w:val="fr-FR"/>
        </w:rPr>
      </w:pPr>
      <w:r w:rsidRPr="006929FA">
        <w:rPr>
          <w:rFonts w:cs="Times New Roman"/>
          <w:lang w:val="fr-FR"/>
        </w:rPr>
        <w:t>Ce poste correspond au deuxième poste figurant sur les comptes relatifs aux dépenses</w:t>
      </w:r>
      <w:r>
        <w:rPr>
          <w:rFonts w:cs="Times New Roman"/>
          <w:lang w:val="fr-FR"/>
        </w:rPr>
        <w:t>.</w:t>
      </w:r>
    </w:p>
    <w:p w:rsidR="0057226A" w:rsidRPr="006929FA" w:rsidRDefault="0057226A" w:rsidP="00EC2936">
      <w:pPr>
        <w:pStyle w:val="Corpsdetexte"/>
        <w:tabs>
          <w:tab w:val="left" w:pos="434"/>
        </w:tabs>
        <w:spacing w:line="135" w:lineRule="exact"/>
        <w:ind w:right="2178" w:firstLine="0"/>
        <w:jc w:val="both"/>
        <w:rPr>
          <w:rFonts w:cs="Times New Roman"/>
          <w:lang w:val="fr-FR"/>
        </w:rPr>
      </w:pPr>
    </w:p>
    <w:sectPr w:rsidR="0057226A" w:rsidRPr="006929FA">
      <w:pgSz w:w="11910" w:h="16840"/>
      <w:pgMar w:top="280" w:right="280" w:bottom="320" w:left="380" w:header="0" w:footer="1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95" w:rsidRDefault="00486295">
      <w:r>
        <w:separator/>
      </w:r>
    </w:p>
  </w:endnote>
  <w:endnote w:type="continuationSeparator" w:id="0">
    <w:p w:rsidR="00486295" w:rsidRDefault="0048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295" w:rsidRDefault="00486295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F5528F" wp14:editId="3C6D300F">
              <wp:simplePos x="0" y="0"/>
              <wp:positionH relativeFrom="page">
                <wp:posOffset>3566795</wp:posOffset>
              </wp:positionH>
              <wp:positionV relativeFrom="page">
                <wp:posOffset>10471150</wp:posOffset>
              </wp:positionV>
              <wp:extent cx="439420" cy="127000"/>
              <wp:effectExtent l="4445" t="3175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95" w:rsidRDefault="00486295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283A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85pt;margin-top:824.5pt;width:34.6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" filled="f" stroked="f">
              <v:textbox inset="0,0,0,0">
                <w:txbxContent>
                  <w:p w:rsidR="00486295" w:rsidRDefault="00486295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283A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95" w:rsidRDefault="00486295">
      <w:r>
        <w:separator/>
      </w:r>
    </w:p>
  </w:footnote>
  <w:footnote w:type="continuationSeparator" w:id="0">
    <w:p w:rsidR="00486295" w:rsidRDefault="00486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4259"/>
    <w:multiLevelType w:val="hybridMultilevel"/>
    <w:tmpl w:val="071C08BC"/>
    <w:lvl w:ilvl="0" w:tplc="5784F004">
      <w:start w:val="1"/>
      <w:numFmt w:val="decimal"/>
      <w:lvlText w:val="(%1)"/>
      <w:lvlJc w:val="left"/>
      <w:pPr>
        <w:ind w:left="433" w:hanging="295"/>
      </w:pPr>
      <w:rPr>
        <w:rFonts w:ascii="Times New Roman" w:eastAsia="Times New Roman" w:hAnsi="Times New Roman" w:hint="default"/>
        <w:sz w:val="12"/>
        <w:szCs w:val="12"/>
      </w:rPr>
    </w:lvl>
    <w:lvl w:ilvl="1" w:tplc="493CF476">
      <w:start w:val="1"/>
      <w:numFmt w:val="bullet"/>
      <w:lvlText w:val="•"/>
      <w:lvlJc w:val="left"/>
      <w:pPr>
        <w:ind w:left="1514" w:hanging="295"/>
      </w:pPr>
      <w:rPr>
        <w:rFonts w:hint="default"/>
      </w:rPr>
    </w:lvl>
    <w:lvl w:ilvl="2" w:tplc="F53CB678">
      <w:start w:val="1"/>
      <w:numFmt w:val="bullet"/>
      <w:lvlText w:val="•"/>
      <w:lvlJc w:val="left"/>
      <w:pPr>
        <w:ind w:left="2596" w:hanging="295"/>
      </w:pPr>
      <w:rPr>
        <w:rFonts w:hint="default"/>
      </w:rPr>
    </w:lvl>
    <w:lvl w:ilvl="3" w:tplc="9ADEE2DE">
      <w:start w:val="1"/>
      <w:numFmt w:val="bullet"/>
      <w:lvlText w:val="•"/>
      <w:lvlJc w:val="left"/>
      <w:pPr>
        <w:ind w:left="3677" w:hanging="295"/>
      </w:pPr>
      <w:rPr>
        <w:rFonts w:hint="default"/>
      </w:rPr>
    </w:lvl>
    <w:lvl w:ilvl="4" w:tplc="EF2C1E2C">
      <w:start w:val="1"/>
      <w:numFmt w:val="bullet"/>
      <w:lvlText w:val="•"/>
      <w:lvlJc w:val="left"/>
      <w:pPr>
        <w:ind w:left="4758" w:hanging="295"/>
      </w:pPr>
      <w:rPr>
        <w:rFonts w:hint="default"/>
      </w:rPr>
    </w:lvl>
    <w:lvl w:ilvl="5" w:tplc="E45E9C38">
      <w:start w:val="1"/>
      <w:numFmt w:val="bullet"/>
      <w:lvlText w:val="•"/>
      <w:lvlJc w:val="left"/>
      <w:pPr>
        <w:ind w:left="5839" w:hanging="295"/>
      </w:pPr>
      <w:rPr>
        <w:rFonts w:hint="default"/>
      </w:rPr>
    </w:lvl>
    <w:lvl w:ilvl="6" w:tplc="7A14AC64">
      <w:start w:val="1"/>
      <w:numFmt w:val="bullet"/>
      <w:lvlText w:val="•"/>
      <w:lvlJc w:val="left"/>
      <w:pPr>
        <w:ind w:left="6920" w:hanging="295"/>
      </w:pPr>
      <w:rPr>
        <w:rFonts w:hint="default"/>
      </w:rPr>
    </w:lvl>
    <w:lvl w:ilvl="7" w:tplc="F58803A4">
      <w:start w:val="1"/>
      <w:numFmt w:val="bullet"/>
      <w:lvlText w:val="•"/>
      <w:lvlJc w:val="left"/>
      <w:pPr>
        <w:ind w:left="8002" w:hanging="295"/>
      </w:pPr>
      <w:rPr>
        <w:rFonts w:hint="default"/>
      </w:rPr>
    </w:lvl>
    <w:lvl w:ilvl="8" w:tplc="2736CB5E">
      <w:start w:val="1"/>
      <w:numFmt w:val="bullet"/>
      <w:lvlText w:val="•"/>
      <w:lvlJc w:val="left"/>
      <w:pPr>
        <w:ind w:left="9083" w:hanging="2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6A"/>
    <w:rsid w:val="00045FC7"/>
    <w:rsid w:val="00072A2F"/>
    <w:rsid w:val="000B32A2"/>
    <w:rsid w:val="00100014"/>
    <w:rsid w:val="00106EDD"/>
    <w:rsid w:val="0011008F"/>
    <w:rsid w:val="0012381C"/>
    <w:rsid w:val="00123FE0"/>
    <w:rsid w:val="001456E8"/>
    <w:rsid w:val="001B72A3"/>
    <w:rsid w:val="001E7793"/>
    <w:rsid w:val="0021746E"/>
    <w:rsid w:val="002305CE"/>
    <w:rsid w:val="00243AB1"/>
    <w:rsid w:val="002618B0"/>
    <w:rsid w:val="00281D5A"/>
    <w:rsid w:val="002A7B3E"/>
    <w:rsid w:val="003124A4"/>
    <w:rsid w:val="003206EB"/>
    <w:rsid w:val="00343CD2"/>
    <w:rsid w:val="00370D96"/>
    <w:rsid w:val="00371A07"/>
    <w:rsid w:val="003A6BA3"/>
    <w:rsid w:val="003B013C"/>
    <w:rsid w:val="003C003F"/>
    <w:rsid w:val="003D0935"/>
    <w:rsid w:val="00456936"/>
    <w:rsid w:val="00486295"/>
    <w:rsid w:val="004963A6"/>
    <w:rsid w:val="00496BA2"/>
    <w:rsid w:val="004F6806"/>
    <w:rsid w:val="00506A51"/>
    <w:rsid w:val="005431BA"/>
    <w:rsid w:val="0056424A"/>
    <w:rsid w:val="0057226A"/>
    <w:rsid w:val="005845B9"/>
    <w:rsid w:val="005954ED"/>
    <w:rsid w:val="005B3AEF"/>
    <w:rsid w:val="005B7110"/>
    <w:rsid w:val="005E4221"/>
    <w:rsid w:val="00620BDE"/>
    <w:rsid w:val="00635B1E"/>
    <w:rsid w:val="00673E3F"/>
    <w:rsid w:val="006929FA"/>
    <w:rsid w:val="006A430F"/>
    <w:rsid w:val="006C546D"/>
    <w:rsid w:val="006D115E"/>
    <w:rsid w:val="00720FEC"/>
    <w:rsid w:val="00766DF7"/>
    <w:rsid w:val="007846E4"/>
    <w:rsid w:val="00821F2F"/>
    <w:rsid w:val="00846273"/>
    <w:rsid w:val="00860E21"/>
    <w:rsid w:val="0086533A"/>
    <w:rsid w:val="00871271"/>
    <w:rsid w:val="00885BD2"/>
    <w:rsid w:val="00913476"/>
    <w:rsid w:val="009605A0"/>
    <w:rsid w:val="00965AF1"/>
    <w:rsid w:val="00994A05"/>
    <w:rsid w:val="009A6B4E"/>
    <w:rsid w:val="00A202B5"/>
    <w:rsid w:val="00A43AA0"/>
    <w:rsid w:val="00A809FE"/>
    <w:rsid w:val="00B66E1B"/>
    <w:rsid w:val="00B72D86"/>
    <w:rsid w:val="00BB22EA"/>
    <w:rsid w:val="00C102A3"/>
    <w:rsid w:val="00CC17A0"/>
    <w:rsid w:val="00CC5FA6"/>
    <w:rsid w:val="00D057EF"/>
    <w:rsid w:val="00D14AD3"/>
    <w:rsid w:val="00D6397D"/>
    <w:rsid w:val="00D90C71"/>
    <w:rsid w:val="00E12854"/>
    <w:rsid w:val="00E75BAD"/>
    <w:rsid w:val="00EA7CBA"/>
    <w:rsid w:val="00EB3D67"/>
    <w:rsid w:val="00EC2936"/>
    <w:rsid w:val="00F7283A"/>
    <w:rsid w:val="00FF0440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4666"/>
      <w:outlineLvl w:val="0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33" w:hanging="295"/>
    </w:pPr>
    <w:rPr>
      <w:rFonts w:ascii="Times New Roman" w:eastAsia="Times New Roman" w:hAnsi="Times New Roman"/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23F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3FE0"/>
  </w:style>
  <w:style w:type="paragraph" w:styleId="Pieddepage">
    <w:name w:val="footer"/>
    <w:basedOn w:val="Normal"/>
    <w:link w:val="PieddepageCar"/>
    <w:uiPriority w:val="99"/>
    <w:unhideWhenUsed/>
    <w:rsid w:val="00123F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3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4666"/>
      <w:outlineLvl w:val="0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33" w:hanging="295"/>
    </w:pPr>
    <w:rPr>
      <w:rFonts w:ascii="Times New Roman" w:eastAsia="Times New Roman" w:hAnsi="Times New Roman"/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23F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3FE0"/>
  </w:style>
  <w:style w:type="paragraph" w:styleId="Pieddepage">
    <w:name w:val="footer"/>
    <w:basedOn w:val="Normal"/>
    <w:link w:val="PieddepageCar"/>
    <w:uiPriority w:val="99"/>
    <w:unhideWhenUsed/>
    <w:rsid w:val="00123F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1287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CERISE</dc:creator>
  <cp:lastModifiedBy>Sonia CHABOD</cp:lastModifiedBy>
  <cp:revision>23</cp:revision>
  <dcterms:created xsi:type="dcterms:W3CDTF">2022-11-18T12:20:00Z</dcterms:created>
  <dcterms:modified xsi:type="dcterms:W3CDTF">2022-11-28T12:56:00Z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2022-09-08T00:00:00Z</vt:filetime>
  </property>
</Properties>
</file>