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8C" w:rsidRDefault="0073238C" w:rsidP="0073238C">
      <w:pPr>
        <w:spacing w:before="120"/>
        <w:ind w:right="40"/>
        <w:jc w:val="both"/>
        <w:rPr>
          <w:rFonts w:ascii="Times New Roman" w:hAnsi="Times New Roman"/>
          <w:sz w:val="24"/>
          <w:lang w:val="fr-FR" w:eastAsia="en-US"/>
        </w:rPr>
      </w:pPr>
      <w:r w:rsidRPr="0073238C">
        <w:rPr>
          <w:rFonts w:ascii="Times New Roman" w:hAnsi="Times New Roman"/>
          <w:sz w:val="24"/>
          <w:lang w:val="fr-FR" w:eastAsia="en-US"/>
        </w:rPr>
        <w:t>Annexe A (premier alinéa de l’art. 23 de la LR n° 31/2007)</w:t>
      </w:r>
      <w:r>
        <w:rPr>
          <w:rFonts w:ascii="Times New Roman" w:hAnsi="Times New Roman"/>
          <w:sz w:val="24"/>
          <w:lang w:val="fr-FR" w:eastAsia="en-US"/>
        </w:rPr>
        <w:t xml:space="preserve"> (1)</w:t>
      </w:r>
    </w:p>
    <w:p w:rsidR="0073238C" w:rsidRPr="0073238C" w:rsidRDefault="0073238C" w:rsidP="0073238C">
      <w:pPr>
        <w:spacing w:before="120"/>
        <w:ind w:right="40"/>
        <w:jc w:val="both"/>
        <w:rPr>
          <w:rFonts w:ascii="Times New Roman" w:hAnsi="Times New Roman"/>
          <w:sz w:val="24"/>
          <w:lang w:val="fr-FR" w:eastAsia="en-US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7938"/>
        <w:gridCol w:w="1134"/>
      </w:tblGrid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Type de déchet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€/tonne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spéciaux pouvant être mis en décharge sans caractérisation analytique et énumérés au tableau 1 de l’annexe 4 du décret législatif n° 36/2003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2 **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spéciaux pouvant être mis en décharge après caractérisation analytique, aux termes de l’art. 7 bis du décret législatif n° 36/2003, et respectant les tableaux 2, 3 et 4 de l’annexe 4 du décret législatif n° 36/2003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10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dérivant du traitement des déchets urbains non triés et des déchets spéciaux assimilables aux déchets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18 *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secondaires issus du traitement des déchets urbains dans des installations de sélection automatique, de recyclage ou de compostage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5,17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de nettoiement (EER200303) pouvant être stockés dans les décharges de déchets non dangereux au sens de l’annexe 8 du décret législatif n° 36/2003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25,82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spéciaux non dangereux de la filière métallurgique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5,17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spéciaux non dangereux autres que ceux visés sous 1), 2), 3) et 6) et pouvant être stockés dans les décharges de déchets non dangereux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12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issus du nettoyage d’entretien des égouts (y compris des fosses septiques et des ouvrages assimilés) et de l’épuration des eaux usées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5,17</w:t>
            </w:r>
          </w:p>
        </w:tc>
      </w:tr>
      <w:tr w:rsidR="0073238C" w:rsidRPr="0073238C" w:rsidTr="00AF7BE9">
        <w:trPr>
          <w:jc w:val="center"/>
        </w:trPr>
        <w:tc>
          <w:tcPr>
            <w:tcW w:w="737" w:type="dxa"/>
            <w:vAlign w:val="center"/>
          </w:tcPr>
          <w:p w:rsidR="0073238C" w:rsidRPr="0073238C" w:rsidRDefault="0073238C" w:rsidP="0073238C">
            <w:pPr>
              <w:numPr>
                <w:ilvl w:val="0"/>
                <w:numId w:val="1"/>
              </w:num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</w:p>
        </w:tc>
        <w:tc>
          <w:tcPr>
            <w:tcW w:w="7938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Déchets spéciaux dangereux pouvant être stockés dans les décharges de déchets non dangereux</w:t>
            </w:r>
          </w:p>
        </w:tc>
        <w:tc>
          <w:tcPr>
            <w:tcW w:w="1134" w:type="dxa"/>
            <w:vAlign w:val="center"/>
          </w:tcPr>
          <w:p w:rsidR="0073238C" w:rsidRPr="0073238C" w:rsidRDefault="0073238C" w:rsidP="0073238C">
            <w:pPr>
              <w:spacing w:before="120"/>
              <w:ind w:right="40"/>
              <w:jc w:val="both"/>
              <w:rPr>
                <w:rFonts w:ascii="Times New Roman" w:hAnsi="Times New Roman"/>
                <w:sz w:val="24"/>
                <w:lang w:val="fr-FR" w:eastAsia="en-US"/>
              </w:rPr>
            </w:pPr>
            <w:r w:rsidRPr="0073238C">
              <w:rPr>
                <w:rFonts w:ascii="Times New Roman" w:hAnsi="Times New Roman"/>
                <w:sz w:val="24"/>
                <w:lang w:val="fr-FR" w:eastAsia="en-US"/>
              </w:rPr>
              <w:t>25,82</w:t>
            </w:r>
          </w:p>
        </w:tc>
      </w:tr>
    </w:tbl>
    <w:p w:rsidR="0073238C" w:rsidRPr="0073238C" w:rsidRDefault="0073238C" w:rsidP="0073238C">
      <w:pPr>
        <w:spacing w:before="120"/>
        <w:ind w:right="40"/>
        <w:jc w:val="both"/>
        <w:rPr>
          <w:rFonts w:ascii="Times New Roman" w:hAnsi="Times New Roman"/>
          <w:sz w:val="24"/>
          <w:lang w:val="fr-FR" w:eastAsia="en-US"/>
        </w:rPr>
      </w:pPr>
      <w:r w:rsidRPr="0073238C">
        <w:rPr>
          <w:rFonts w:ascii="Times New Roman" w:hAnsi="Times New Roman"/>
          <w:sz w:val="24"/>
          <w:lang w:val="fr-FR" w:eastAsia="en-US"/>
        </w:rPr>
        <w:t>Pour chaque type de déchet mis en décharge et ne figurant pas au tableau ci-dessus, il est fait application du montant maximal de la taxe prévue par les dispositions en vigueur.</w:t>
      </w:r>
    </w:p>
    <w:p w:rsidR="0073238C" w:rsidRPr="0073238C" w:rsidRDefault="0073238C" w:rsidP="0073238C">
      <w:pPr>
        <w:spacing w:before="120"/>
        <w:ind w:right="40"/>
        <w:jc w:val="both"/>
        <w:rPr>
          <w:rFonts w:ascii="Times New Roman" w:hAnsi="Times New Roman"/>
          <w:sz w:val="24"/>
          <w:lang w:val="fr-FR" w:eastAsia="en-US"/>
        </w:rPr>
      </w:pPr>
      <w:r w:rsidRPr="0073238C">
        <w:rPr>
          <w:rFonts w:ascii="Times New Roman" w:hAnsi="Times New Roman"/>
          <w:sz w:val="24"/>
          <w:lang w:val="fr-FR" w:eastAsia="en-US"/>
        </w:rPr>
        <w:t xml:space="preserve">* Le montant effectivement dû pour les déchets urbains est établi chaque année sur la base du montant de référence (18 €/tonne) auquel est appliquée soit une majoration, soit une détraction au sens de l’art. 205 du décret législatif n° 152/2006, compte tenu du pourcentage de tri sélectif obtenu par chaque </w:t>
      </w:r>
      <w:proofErr w:type="spellStart"/>
      <w:r w:rsidRPr="0073238C">
        <w:rPr>
          <w:rFonts w:ascii="Times New Roman" w:hAnsi="Times New Roman"/>
          <w:i/>
          <w:sz w:val="24"/>
          <w:lang w:val="fr-FR" w:eastAsia="en-US"/>
        </w:rPr>
        <w:t>subATO</w:t>
      </w:r>
      <w:proofErr w:type="spellEnd"/>
      <w:r w:rsidRPr="0073238C">
        <w:rPr>
          <w:rFonts w:ascii="Times New Roman" w:hAnsi="Times New Roman"/>
          <w:sz w:val="24"/>
          <w:lang w:val="fr-FR" w:eastAsia="en-US"/>
        </w:rPr>
        <w:t>.</w:t>
      </w:r>
    </w:p>
    <w:p w:rsidR="0073238C" w:rsidRPr="0073238C" w:rsidRDefault="0073238C" w:rsidP="0073238C">
      <w:pPr>
        <w:spacing w:before="120"/>
        <w:ind w:right="40"/>
        <w:jc w:val="both"/>
        <w:rPr>
          <w:rFonts w:ascii="Times New Roman" w:hAnsi="Times New Roman"/>
          <w:sz w:val="24"/>
          <w:lang w:val="fr-FR" w:eastAsia="en-US"/>
        </w:rPr>
      </w:pPr>
      <w:r w:rsidRPr="0073238C">
        <w:rPr>
          <w:rFonts w:ascii="Times New Roman" w:hAnsi="Times New Roman"/>
          <w:sz w:val="24"/>
          <w:lang w:val="fr-FR" w:eastAsia="en-US"/>
        </w:rPr>
        <w:t>** Aux fins du stockage, il est possible d’appliquer le rapport de conversion conventionnel poids/volume de 1,5 tonne par mètre cube. </w:t>
      </w:r>
    </w:p>
    <w:p w:rsidR="0073238C" w:rsidRPr="0073238C" w:rsidRDefault="0073238C" w:rsidP="0073238C">
      <w:pPr>
        <w:spacing w:before="120"/>
        <w:ind w:right="40"/>
        <w:jc w:val="both"/>
        <w:rPr>
          <w:rFonts w:ascii="Times New Roman" w:hAnsi="Times New Roman"/>
          <w:sz w:val="24"/>
          <w:lang w:val="fr-FR" w:eastAsia="en-US"/>
        </w:rPr>
      </w:pPr>
      <w:r w:rsidRPr="0073238C">
        <w:rPr>
          <w:rFonts w:ascii="Times New Roman" w:hAnsi="Times New Roman"/>
          <w:sz w:val="24"/>
          <w:lang w:val="fr-FR" w:eastAsia="en-US"/>
        </w:rPr>
        <w:t>La taxe spéciale est versée par l’exploitant de l’installation de stockage définitif auquel la personne qui procède à la mise en décharge est tenue de rembourser le montant correspondant.</w:t>
      </w:r>
    </w:p>
    <w:p w:rsidR="00A61BDA" w:rsidRPr="00A61BDA" w:rsidRDefault="00A61BDA" w:rsidP="00A61BDA">
      <w:pPr>
        <w:spacing w:before="120"/>
        <w:ind w:right="40"/>
        <w:jc w:val="both"/>
        <w:rPr>
          <w:rFonts w:ascii="Times New Roman" w:hAnsi="Times New Roman"/>
          <w:sz w:val="24"/>
          <w:lang w:val="fr-FR" w:eastAsia="en-US"/>
        </w:rPr>
      </w:pPr>
      <w:r>
        <w:rPr>
          <w:rFonts w:ascii="Times New Roman" w:hAnsi="Times New Roman"/>
          <w:sz w:val="24"/>
          <w:lang w:val="fr-FR" w:eastAsia="en-US"/>
        </w:rPr>
        <w:t>____</w:t>
      </w:r>
    </w:p>
    <w:p w:rsidR="000F62FF" w:rsidRPr="0073238C" w:rsidRDefault="000F62FF">
      <w:pPr>
        <w:ind w:right="282"/>
        <w:jc w:val="both"/>
        <w:rPr>
          <w:rFonts w:ascii="Times New Roman" w:hAnsi="Times New Roman"/>
          <w:sz w:val="24"/>
          <w:lang w:val="fr-FR"/>
        </w:rPr>
      </w:pPr>
    </w:p>
    <w:p w:rsidR="00A61BDA" w:rsidRPr="0073238C" w:rsidRDefault="00A61BDA" w:rsidP="0073238C">
      <w:pPr>
        <w:ind w:right="282"/>
        <w:jc w:val="both"/>
        <w:rPr>
          <w:rFonts w:ascii="Times New Roman" w:hAnsi="Times New Roman"/>
          <w:sz w:val="24"/>
          <w:lang w:val="fr-FR"/>
        </w:rPr>
      </w:pPr>
      <w:r w:rsidRPr="0073238C">
        <w:rPr>
          <w:rFonts w:ascii="Times New Roman" w:hAnsi="Times New Roman"/>
          <w:sz w:val="24"/>
          <w:lang w:val="fr-FR"/>
        </w:rPr>
        <w:t>1) Tableau</w:t>
      </w:r>
      <w:r w:rsidRPr="004C300A">
        <w:rPr>
          <w:rFonts w:ascii="Times New Roman" w:hAnsi="Times New Roman"/>
          <w:sz w:val="24"/>
          <w:lang w:val="fr-FR"/>
        </w:rPr>
        <w:t xml:space="preserve"> remplacé</w:t>
      </w:r>
      <w:r w:rsidRPr="0073238C">
        <w:rPr>
          <w:rFonts w:ascii="Times New Roman" w:hAnsi="Times New Roman"/>
          <w:sz w:val="24"/>
          <w:lang w:val="fr-FR"/>
        </w:rPr>
        <w:t xml:space="preserve"> par le 2e</w:t>
      </w:r>
      <w:r w:rsidRPr="004C300A">
        <w:rPr>
          <w:rFonts w:ascii="Times New Roman" w:hAnsi="Times New Roman"/>
          <w:sz w:val="24"/>
          <w:lang w:val="fr-FR"/>
        </w:rPr>
        <w:t xml:space="preserve"> alinéa</w:t>
      </w:r>
      <w:r w:rsidRPr="0073238C">
        <w:rPr>
          <w:rFonts w:ascii="Times New Roman" w:hAnsi="Times New Roman"/>
          <w:sz w:val="24"/>
          <w:lang w:val="fr-FR"/>
        </w:rPr>
        <w:t xml:space="preserve"> de l'</w:t>
      </w:r>
      <w:r w:rsidRPr="004C300A">
        <w:rPr>
          <w:rFonts w:ascii="Times New Roman" w:hAnsi="Times New Roman"/>
          <w:sz w:val="24"/>
          <w:lang w:val="fr-FR"/>
        </w:rPr>
        <w:t>article</w:t>
      </w:r>
      <w:r w:rsidRPr="0073238C">
        <w:rPr>
          <w:rFonts w:ascii="Times New Roman" w:hAnsi="Times New Roman"/>
          <w:sz w:val="24"/>
          <w:lang w:val="fr-FR"/>
        </w:rPr>
        <w:t xml:space="preserve"> 38 de la</w:t>
      </w:r>
      <w:r w:rsidRPr="004C300A">
        <w:rPr>
          <w:rFonts w:ascii="Times New Roman" w:hAnsi="Times New Roman"/>
          <w:sz w:val="24"/>
          <w:lang w:val="fr-FR"/>
        </w:rPr>
        <w:t xml:space="preserve"> loi régionale</w:t>
      </w:r>
      <w:r w:rsidRPr="0073238C">
        <w:rPr>
          <w:rFonts w:ascii="Times New Roman" w:hAnsi="Times New Roman"/>
          <w:sz w:val="24"/>
          <w:lang w:val="fr-FR"/>
        </w:rPr>
        <w:t xml:space="preserve"> n. 1</w:t>
      </w:r>
      <w:r w:rsidRPr="00C838AD">
        <w:rPr>
          <w:rFonts w:ascii="Times New Roman" w:hAnsi="Times New Roman"/>
          <w:sz w:val="24"/>
          <w:lang w:val="fr-FR"/>
        </w:rPr>
        <w:t xml:space="preserve"> du</w:t>
      </w:r>
      <w:r w:rsidRPr="0073238C">
        <w:rPr>
          <w:rFonts w:ascii="Times New Roman" w:hAnsi="Times New Roman"/>
          <w:sz w:val="24"/>
          <w:lang w:val="fr-FR"/>
        </w:rPr>
        <w:t xml:space="preserve"> 11 février 2020</w:t>
      </w:r>
      <w:r w:rsidR="0073238C">
        <w:rPr>
          <w:rFonts w:ascii="Times New Roman" w:hAnsi="Times New Roman"/>
          <w:sz w:val="24"/>
          <w:lang w:val="fr-FR"/>
        </w:rPr>
        <w:t>,</w:t>
      </w:r>
      <w:r w:rsidRPr="0073238C">
        <w:rPr>
          <w:rFonts w:ascii="Times New Roman" w:hAnsi="Times New Roman"/>
          <w:sz w:val="24"/>
          <w:lang w:val="fr-FR"/>
        </w:rPr>
        <w:t xml:space="preserve"> par le 1er alinéa de l'art. 10 de la loi régionale n. 8 du 13 juillet 2020</w:t>
      </w:r>
      <w:r w:rsidR="0073238C" w:rsidRPr="0073238C">
        <w:rPr>
          <w:rFonts w:ascii="Times New Roman" w:hAnsi="Times New Roman"/>
          <w:sz w:val="24"/>
          <w:lang w:val="fr-FR"/>
        </w:rPr>
        <w:t xml:space="preserve"> </w:t>
      </w:r>
      <w:r w:rsidR="0073238C" w:rsidRPr="0073238C">
        <w:rPr>
          <w:rFonts w:ascii="Times New Roman" w:hAnsi="Times New Roman"/>
          <w:sz w:val="24"/>
          <w:lang w:val="fr-FR"/>
        </w:rPr>
        <w:t>et, en suite,</w:t>
      </w:r>
      <w:r w:rsidR="0073238C">
        <w:rPr>
          <w:rFonts w:ascii="Times New Roman" w:hAnsi="Times New Roman"/>
          <w:sz w:val="24"/>
          <w:lang w:val="fr-FR"/>
        </w:rPr>
        <w:t xml:space="preserve"> par le 1er alinéa de l'article 4 de la loi régionale n° 4</w:t>
      </w:r>
      <w:bookmarkStart w:id="0" w:name="_GoBack"/>
      <w:bookmarkEnd w:id="0"/>
      <w:r w:rsidR="0073238C">
        <w:rPr>
          <w:rFonts w:ascii="Times New Roman" w:hAnsi="Times New Roman"/>
          <w:sz w:val="24"/>
          <w:lang w:val="fr-FR"/>
        </w:rPr>
        <w:t xml:space="preserve"> du 9 mai 2022.</w:t>
      </w:r>
    </w:p>
    <w:p w:rsidR="004C300A" w:rsidRPr="0073238C" w:rsidRDefault="00C838AD">
      <w:pPr>
        <w:ind w:right="282"/>
        <w:jc w:val="both"/>
        <w:rPr>
          <w:rFonts w:ascii="Times New Roman" w:hAnsi="Times New Roman"/>
          <w:i/>
          <w:sz w:val="24"/>
          <w:lang w:val="fr-FR"/>
        </w:rPr>
      </w:pPr>
      <w:r w:rsidRPr="0073238C">
        <w:rPr>
          <w:rFonts w:ascii="Times New Roman" w:hAnsi="Times New Roman"/>
          <w:sz w:val="24"/>
          <w:lang w:val="fr-FR"/>
        </w:rPr>
        <w:t>[</w:t>
      </w:r>
      <w:r w:rsidR="004C300A" w:rsidRPr="0073238C">
        <w:rPr>
          <w:rFonts w:ascii="Times New Roman" w:hAnsi="Times New Roman"/>
          <w:i/>
          <w:sz w:val="24"/>
          <w:lang w:val="fr-FR"/>
        </w:rPr>
        <w:t xml:space="preserve">Voir: </w:t>
      </w:r>
      <w:proofErr w:type="spellStart"/>
      <w:r w:rsidR="004C300A" w:rsidRPr="0073238C">
        <w:rPr>
          <w:rFonts w:ascii="Times New Roman" w:hAnsi="Times New Roman"/>
          <w:i/>
          <w:sz w:val="24"/>
          <w:lang w:val="fr-FR"/>
        </w:rPr>
        <w:t>Sentenza</w:t>
      </w:r>
      <w:proofErr w:type="spellEnd"/>
      <w:r w:rsidR="004C300A" w:rsidRPr="0073238C">
        <w:rPr>
          <w:rFonts w:ascii="Times New Roman" w:hAnsi="Times New Roman"/>
          <w:i/>
          <w:sz w:val="24"/>
          <w:lang w:val="fr-FR"/>
        </w:rPr>
        <w:t xml:space="preserve"> </w:t>
      </w:r>
      <w:r w:rsidRPr="0073238C">
        <w:rPr>
          <w:rFonts w:ascii="Times New Roman" w:hAnsi="Times New Roman"/>
          <w:i/>
          <w:sz w:val="24"/>
          <w:lang w:val="fr-FR"/>
        </w:rPr>
        <w:t xml:space="preserve">Corte </w:t>
      </w:r>
      <w:proofErr w:type="spellStart"/>
      <w:r w:rsidRPr="0073238C">
        <w:rPr>
          <w:rFonts w:ascii="Times New Roman" w:hAnsi="Times New Roman"/>
          <w:i/>
          <w:sz w:val="24"/>
          <w:lang w:val="fr-FR"/>
        </w:rPr>
        <w:t>Costituzionale</w:t>
      </w:r>
      <w:proofErr w:type="spellEnd"/>
      <w:r w:rsidRPr="0073238C">
        <w:rPr>
          <w:rFonts w:ascii="Times New Roman" w:hAnsi="Times New Roman"/>
          <w:i/>
          <w:sz w:val="24"/>
          <w:lang w:val="fr-FR"/>
        </w:rPr>
        <w:t xml:space="preserve"> n. 82/2021</w:t>
      </w:r>
      <w:r w:rsidRPr="0073238C">
        <w:rPr>
          <w:rFonts w:ascii="Times New Roman" w:hAnsi="Times New Roman"/>
          <w:sz w:val="24"/>
          <w:lang w:val="fr-FR"/>
        </w:rPr>
        <w:t>]</w:t>
      </w:r>
    </w:p>
    <w:p w:rsidR="00A61BDA" w:rsidRPr="0073238C" w:rsidRDefault="00A61BDA">
      <w:pPr>
        <w:ind w:right="282"/>
        <w:jc w:val="both"/>
        <w:rPr>
          <w:rFonts w:ascii="Times New Roman" w:hAnsi="Times New Roman"/>
          <w:i/>
          <w:sz w:val="24"/>
          <w:lang w:val="fr-FR"/>
        </w:rPr>
      </w:pPr>
    </w:p>
    <w:sectPr w:rsidR="00A61BDA" w:rsidRPr="0073238C" w:rsidSect="005D1CBB">
      <w:pgSz w:w="11907" w:h="16840" w:code="9"/>
      <w:pgMar w:top="1417" w:right="1134" w:bottom="1134" w:left="1134" w:header="397" w:footer="51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76A"/>
    <w:multiLevelType w:val="hybridMultilevel"/>
    <w:tmpl w:val="B6E02FE8"/>
    <w:lvl w:ilvl="0" w:tplc="C93461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8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A"/>
    <w:rsid w:val="000F62FF"/>
    <w:rsid w:val="00133155"/>
    <w:rsid w:val="00481DCF"/>
    <w:rsid w:val="004C300A"/>
    <w:rsid w:val="00504C47"/>
    <w:rsid w:val="005D1CBB"/>
    <w:rsid w:val="005F322C"/>
    <w:rsid w:val="0070174E"/>
    <w:rsid w:val="0073238C"/>
    <w:rsid w:val="007D0866"/>
    <w:rsid w:val="00985B24"/>
    <w:rsid w:val="0099799A"/>
    <w:rsid w:val="009E19D2"/>
    <w:rsid w:val="00A61BDA"/>
    <w:rsid w:val="00C47A9F"/>
    <w:rsid w:val="00C838AD"/>
    <w:rsid w:val="00DA18D4"/>
    <w:rsid w:val="00D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1F9A"/>
  <w15:chartTrackingRefBased/>
  <w15:docId w15:val="{DE59BBCE-5328-4239-8ABE-62CE7E2C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eglavinaz</dc:creator>
  <cp:keywords/>
  <dc:description/>
  <cp:lastModifiedBy>pnale</cp:lastModifiedBy>
  <cp:revision>4</cp:revision>
  <dcterms:created xsi:type="dcterms:W3CDTF">2021-05-07T08:19:00Z</dcterms:created>
  <dcterms:modified xsi:type="dcterms:W3CDTF">2022-05-31T08:30:00Z</dcterms:modified>
</cp:coreProperties>
</file>