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3D" w:rsidRDefault="00E0173D" w:rsidP="00884AA0">
      <w:pPr>
        <w:widowControl w:val="0"/>
        <w:tabs>
          <w:tab w:val="left" w:pos="709"/>
        </w:tabs>
        <w:ind w:right="-1"/>
        <w:jc w:val="center"/>
        <w:rPr>
          <w:rFonts w:ascii="Times New Roman" w:hAnsi="Times New Roman"/>
          <w:sz w:val="24"/>
        </w:rPr>
      </w:pPr>
      <w:bookmarkStart w:id="0" w:name="_GoBack"/>
      <w:bookmarkEnd w:id="0"/>
    </w:p>
    <w:p w:rsidR="00884AA0" w:rsidRDefault="00884AA0" w:rsidP="00884AA0">
      <w:pPr>
        <w:widowControl w:val="0"/>
        <w:tabs>
          <w:tab w:val="left" w:pos="709"/>
        </w:tabs>
        <w:ind w:right="-1"/>
        <w:jc w:val="center"/>
        <w:rPr>
          <w:rFonts w:ascii="Times New Roman" w:hAnsi="Times New Roman"/>
          <w:sz w:val="24"/>
        </w:rPr>
      </w:pPr>
      <w:r w:rsidRPr="00884AA0">
        <w:rPr>
          <w:rFonts w:ascii="Times New Roman" w:hAnsi="Times New Roman"/>
          <w:sz w:val="24"/>
        </w:rPr>
        <w:t>ALLEGATO A</w:t>
      </w:r>
    </w:p>
    <w:p w:rsidR="00884AA0" w:rsidRPr="00884AA0" w:rsidRDefault="00884AA0" w:rsidP="00884AA0">
      <w:pPr>
        <w:widowControl w:val="0"/>
        <w:tabs>
          <w:tab w:val="left" w:pos="709"/>
        </w:tabs>
        <w:ind w:right="-1"/>
        <w:jc w:val="center"/>
        <w:rPr>
          <w:rFonts w:ascii="Times New Roman" w:hAnsi="Times New Roman"/>
          <w:sz w:val="24"/>
        </w:rPr>
      </w:pPr>
      <w:r w:rsidRPr="00884AA0">
        <w:rPr>
          <w:rFonts w:ascii="Times New Roman" w:hAnsi="Times New Roman"/>
          <w:sz w:val="24"/>
        </w:rPr>
        <w:t>Progetti da assoggettare a procedura di VIA (articoli 6, 15 e 17)</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w:t>
      </w:r>
      <w:r w:rsidRPr="00884AA0">
        <w:rPr>
          <w:rFonts w:ascii="Times New Roman" w:hAnsi="Times New Roman"/>
          <w:sz w:val="24"/>
        </w:rPr>
        <w:tab/>
        <w:t>Utilizzo non energetico di acque superficiali nei casi in cui la derivazione superi i 1.000 litri al secondo e di acque sotterranee, ivi comprese acque minerali e termali, nei casi in cui la derivazione superi i 100 litri al secondo.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w:t>
      </w:r>
      <w:r w:rsidRPr="00884AA0">
        <w:rPr>
          <w:rFonts w:ascii="Times New Roman" w:hAnsi="Times New Roman"/>
          <w:sz w:val="24"/>
        </w:rPr>
        <w:tab/>
        <w:t xml:space="preserve">Impianti termici per la produzione di energia elettrica, vapore e acqua calda con potenza termica complessiva installata superiore a 15 </w:t>
      </w:r>
      <w:proofErr w:type="spellStart"/>
      <w:r w:rsidRPr="00884AA0">
        <w:rPr>
          <w:rFonts w:ascii="Times New Roman" w:hAnsi="Times New Roman"/>
          <w:sz w:val="24"/>
        </w:rPr>
        <w:t>Mw</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3.</w:t>
      </w:r>
      <w:r w:rsidRPr="00884AA0">
        <w:rPr>
          <w:rFonts w:ascii="Times New Roman" w:hAnsi="Times New Roman"/>
          <w:sz w:val="24"/>
        </w:rPr>
        <w:tab/>
        <w:t xml:space="preserve">Impianti eolici per la produzione di energia elettrica, con potenza complessiva installata superiore a 100 </w:t>
      </w:r>
      <w:proofErr w:type="spellStart"/>
      <w:r w:rsidRPr="00884AA0">
        <w:rPr>
          <w:rFonts w:ascii="Times New Roman" w:hAnsi="Times New Roman"/>
          <w:sz w:val="24"/>
        </w:rPr>
        <w:t>Kw</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4.</w:t>
      </w:r>
      <w:r w:rsidRPr="00884AA0">
        <w:rPr>
          <w:rFonts w:ascii="Times New Roman" w:hAnsi="Times New Roman"/>
          <w:sz w:val="24"/>
        </w:rPr>
        <w:tab/>
        <w:t xml:space="preserve">Impianti fotovoltaici con potenza complessiva installata superiore a 1 </w:t>
      </w:r>
      <w:proofErr w:type="spellStart"/>
      <w:r w:rsidRPr="00884AA0">
        <w:rPr>
          <w:rFonts w:ascii="Times New Roman" w:hAnsi="Times New Roman"/>
          <w:sz w:val="24"/>
        </w:rPr>
        <w:t>Mw</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5.</w:t>
      </w:r>
      <w:r w:rsidRPr="00884AA0">
        <w:rPr>
          <w:rFonts w:ascii="Times New Roman" w:hAnsi="Times New Roman"/>
          <w:sz w:val="24"/>
        </w:rPr>
        <w:tab/>
        <w:t>Impianti industriali destinati: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a)</w:t>
      </w:r>
      <w:r w:rsidRPr="00884AA0">
        <w:rPr>
          <w:rFonts w:ascii="Times New Roman" w:hAnsi="Times New Roman"/>
          <w:sz w:val="24"/>
        </w:rPr>
        <w:tab/>
        <w:t>alla fabbricazione di pasta per carta a partire dal legno o da altre materie fibrose;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b)</w:t>
      </w:r>
      <w:r w:rsidRPr="00884AA0">
        <w:rPr>
          <w:rFonts w:ascii="Times New Roman" w:hAnsi="Times New Roman"/>
          <w:sz w:val="24"/>
        </w:rPr>
        <w:tab/>
        <w:t>alla fabbricazione di carta e cartoni con capacità di produzione superiore a 100 tonnellate al giorno.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6.</w:t>
      </w:r>
      <w:r w:rsidRPr="00884AA0">
        <w:rPr>
          <w:rFonts w:ascii="Times New Roman" w:hAnsi="Times New Roman"/>
          <w:sz w:val="24"/>
        </w:rPr>
        <w:tab/>
        <w:t>Impianti chimici integrati, ossia impianti per la produzione su scala industriale, mediante processi di trasformazione chimica, di sostanze, in cui si trovano affiancate varie unità produttive funzionalmente connesse tra di loro: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a)</w:t>
      </w:r>
      <w:r w:rsidRPr="00884AA0">
        <w:rPr>
          <w:rFonts w:ascii="Times New Roman" w:hAnsi="Times New Roman"/>
          <w:sz w:val="24"/>
        </w:rPr>
        <w:tab/>
        <w:t xml:space="preserve">per la fabbricazione di prodotti chimici organici di base (progetti non inclusi nell’allegato II del decreto legislativo </w:t>
      </w:r>
      <w:smartTag w:uri="urn:schemas-microsoft-com:office:smarttags" w:element="date">
        <w:smartTagPr>
          <w:attr w:name="ls" w:val="trans"/>
          <w:attr w:name="Month" w:val="1"/>
          <w:attr w:name="Day" w:val="16"/>
          <w:attr w:name="Year" w:val="2008"/>
        </w:smartTagPr>
        <w:r w:rsidRPr="00884AA0">
          <w:rPr>
            <w:rFonts w:ascii="Times New Roman" w:hAnsi="Times New Roman"/>
            <w:sz w:val="24"/>
          </w:rPr>
          <w:t>16 gennaio 2008</w:t>
        </w:r>
      </w:smartTag>
      <w:r w:rsidRPr="00884AA0">
        <w:rPr>
          <w:rFonts w:ascii="Times New Roman" w:hAnsi="Times New Roman"/>
          <w:sz w:val="24"/>
        </w:rPr>
        <w:t xml:space="preserve">, n. 4 (Ulteriori disposizioni correttive ed integrative del d.lgs. </w:t>
      </w:r>
      <w:smartTag w:uri="urn:schemas-microsoft-com:office:smarttags" w:element="date">
        <w:smartTagPr>
          <w:attr w:name="ls" w:val="trans"/>
          <w:attr w:name="Month" w:val="4"/>
          <w:attr w:name="Day" w:val="3"/>
          <w:attr w:name="Year" w:val="2006"/>
        </w:smartTagPr>
        <w:r w:rsidRPr="00884AA0">
          <w:rPr>
            <w:rFonts w:ascii="Times New Roman" w:hAnsi="Times New Roman"/>
            <w:sz w:val="24"/>
          </w:rPr>
          <w:t>3 aprile 2006</w:t>
        </w:r>
      </w:smartTag>
      <w:r w:rsidRPr="00884AA0">
        <w:rPr>
          <w:rFonts w:ascii="Times New Roman" w:hAnsi="Times New Roman"/>
          <w:sz w:val="24"/>
        </w:rPr>
        <w:t>, n. 152, recante norme in materia ambientale));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b)</w:t>
      </w:r>
      <w:r w:rsidRPr="00884AA0">
        <w:rPr>
          <w:rFonts w:ascii="Times New Roman" w:hAnsi="Times New Roman"/>
          <w:sz w:val="24"/>
        </w:rPr>
        <w:tab/>
        <w:t>per la fabbricazione di prodotti chimici inorganici di base (progetti non inclusi nell’allegato II del d.lgs. 4/2008);</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c)</w:t>
      </w:r>
      <w:r w:rsidRPr="00884AA0">
        <w:rPr>
          <w:rFonts w:ascii="Times New Roman" w:hAnsi="Times New Roman"/>
          <w:sz w:val="24"/>
        </w:rPr>
        <w:tab/>
        <w:t>per la fabbricazione di fertilizzanti semplici o composti a base di fosforo, azoto, potassio (progetti non inclusi nell’allegato II del d.lgs. 4/2008);</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d)</w:t>
      </w:r>
      <w:r w:rsidRPr="00884AA0">
        <w:rPr>
          <w:rFonts w:ascii="Times New Roman" w:hAnsi="Times New Roman"/>
          <w:sz w:val="24"/>
        </w:rPr>
        <w:tab/>
        <w:t>per la fabbricazione di prodotti di base fitosanitari e di biocidi;</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e)</w:t>
      </w:r>
      <w:r w:rsidRPr="00884AA0">
        <w:rPr>
          <w:rFonts w:ascii="Times New Roman" w:hAnsi="Times New Roman"/>
          <w:sz w:val="24"/>
        </w:rPr>
        <w:tab/>
        <w:t>per la fabbricazione di prodotti farmaceutici di base mediante procedimento chimico o biologico;</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f)</w:t>
      </w:r>
      <w:r w:rsidRPr="00884AA0">
        <w:rPr>
          <w:rFonts w:ascii="Times New Roman" w:hAnsi="Times New Roman"/>
          <w:sz w:val="24"/>
        </w:rPr>
        <w:tab/>
        <w:t>per la fabbricazione di esplosivi.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7.</w:t>
      </w:r>
      <w:r w:rsidRPr="00884AA0">
        <w:rPr>
          <w:rFonts w:ascii="Times New Roman" w:hAnsi="Times New Roman"/>
          <w:sz w:val="24"/>
        </w:rPr>
        <w:tab/>
        <w:t>Trattamento di prodotti intermedi e fabbricazione di prodotti chimici.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8.</w:t>
      </w:r>
      <w:r w:rsidRPr="00884AA0">
        <w:rPr>
          <w:rFonts w:ascii="Times New Roman" w:hAnsi="Times New Roman"/>
          <w:sz w:val="24"/>
        </w:rPr>
        <w:tab/>
        <w:t>Produzione di pesticidi, prodotti farmaceutici, pitture e vernici, elastomeri e perossidi.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9.</w:t>
      </w:r>
      <w:r w:rsidRPr="00884AA0">
        <w:rPr>
          <w:rFonts w:ascii="Times New Roman" w:hAnsi="Times New Roman"/>
          <w:sz w:val="24"/>
        </w:rPr>
        <w:tab/>
        <w:t xml:space="preserve">Stoccaggio di petrolio, prodotti petroliferi, petrolchimici pericolosi ai sensi della legge </w:t>
      </w:r>
      <w:smartTag w:uri="urn:schemas-microsoft-com:office:smarttags" w:element="date">
        <w:smartTagPr>
          <w:attr w:name="ls" w:val="trans"/>
          <w:attr w:name="Month" w:val="5"/>
          <w:attr w:name="Day" w:val="29"/>
          <w:attr w:name="Year" w:val="1974"/>
        </w:smartTagPr>
        <w:r w:rsidRPr="00884AA0">
          <w:rPr>
            <w:rFonts w:ascii="Times New Roman" w:hAnsi="Times New Roman"/>
            <w:sz w:val="24"/>
          </w:rPr>
          <w:t>29 maggio 1974</w:t>
        </w:r>
      </w:smartTag>
      <w:r w:rsidRPr="00884AA0">
        <w:rPr>
          <w:rFonts w:ascii="Times New Roman" w:hAnsi="Times New Roman"/>
          <w:sz w:val="24"/>
        </w:rPr>
        <w:t>, n. 256 (Classificazione e disciplina dell’imballaggio e dell’etichettatura delle sostanze e dei preparati pericolosi), con capacità complessiva superiore a 10.000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10.</w:t>
      </w:r>
      <w:r w:rsidRPr="00884AA0">
        <w:rPr>
          <w:rFonts w:ascii="Times New Roman" w:hAnsi="Times New Roman"/>
          <w:sz w:val="24"/>
        </w:rPr>
        <w:tab/>
        <w:t>Stoccaggio di altri prodotti chimici con capacità complessiva superiore a 1.000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lastRenderedPageBreak/>
        <w:t>11.</w:t>
      </w:r>
      <w:r w:rsidRPr="00884AA0">
        <w:rPr>
          <w:rFonts w:ascii="Times New Roman" w:hAnsi="Times New Roman"/>
          <w:sz w:val="24"/>
        </w:rPr>
        <w:tab/>
        <w:t>Impianti per la concia del cuoio e del pellame.</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12.</w:t>
      </w:r>
      <w:r w:rsidRPr="00884AA0">
        <w:rPr>
          <w:rFonts w:ascii="Times New Roman" w:hAnsi="Times New Roman"/>
          <w:sz w:val="24"/>
        </w:rPr>
        <w:tab/>
        <w:t xml:space="preserve">Impianti di smaltimento e di recupero, questi ultimi per i procedimenti rientranti nelle procedure ordinarie di autorizzazione di cui all’articolo 208 del decreto legislativo </w:t>
      </w:r>
      <w:smartTag w:uri="urn:schemas-microsoft-com:office:smarttags" w:element="date">
        <w:smartTagPr>
          <w:attr w:name="ls" w:val="trans"/>
          <w:attr w:name="Month" w:val="4"/>
          <w:attr w:name="Day" w:val="3"/>
          <w:attr w:name="Year" w:val="2006"/>
        </w:smartTagPr>
        <w:r w:rsidRPr="00884AA0">
          <w:rPr>
            <w:rFonts w:ascii="Times New Roman" w:hAnsi="Times New Roman"/>
            <w:sz w:val="24"/>
          </w:rPr>
          <w:t>3 aprile 2006</w:t>
        </w:r>
      </w:smartTag>
      <w:r w:rsidRPr="00884AA0">
        <w:rPr>
          <w:rFonts w:ascii="Times New Roman" w:hAnsi="Times New Roman"/>
          <w:sz w:val="24"/>
        </w:rPr>
        <w:t>, n. 152 (Norme in materia ambientale), di rifiuti pericolosi mediante le operazioni di cui agli allegati B e C, della parte IV, del medesimo decreto; è fatta eccezione per le operazioni di smaltimento D13, D14 e D15, nonché per le operazioni di recupero R13, per le quali è necessaria una procedura di verifica di assoggettabilità ai sensi dell’articolo 17.</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13.</w:t>
      </w:r>
      <w:r w:rsidRPr="00884AA0">
        <w:rPr>
          <w:rFonts w:ascii="Times New Roman" w:hAnsi="Times New Roman"/>
          <w:sz w:val="24"/>
        </w:rPr>
        <w:tab/>
        <w:t>Impianti di smaltimento e recupero, questi ultimi per i procedimenti rientranti nelle procedure ordinarie di autorizzazione di cui all’articolo 208 del d.lgs. 152/2006, di rifiuti non pericolosi con capacità superiore a 100 tonnellate/giorno, ad esclusione delle operazioni di incenerimento (D10) sempre soggette a procedura di VIA; è fatta eccezione per le operazioni di smaltimento D13, D14 e D15, nonché per le operazioni di recupero R13, per le quali è necessaria una procedura di verifica di assoggettabilità ai sensi dell’articolo 17. Sono altresì soggetti a procedura di VIA gli impianti di discarica per rifiuti speciali inerti aventi una capacità complessiva superiore a 50.000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14.</w:t>
      </w:r>
      <w:r w:rsidRPr="00884AA0">
        <w:rPr>
          <w:rFonts w:ascii="Times New Roman" w:hAnsi="Times New Roman"/>
          <w:sz w:val="24"/>
        </w:rPr>
        <w:tab/>
        <w:t>Impianti di depurazione delle acque con potenzialità superiore a 50.000 abitanti equivalenti.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15.</w:t>
      </w:r>
      <w:r w:rsidRPr="00884AA0">
        <w:rPr>
          <w:rFonts w:ascii="Times New Roman" w:hAnsi="Times New Roman"/>
          <w:sz w:val="24"/>
        </w:rPr>
        <w:tab/>
        <w:t>Dighe e altri impianti destinati a trattenere, regolare o accumulare le acque in modo durevole, ai fini non energetici, di altezza superiore a 10 metri e/o di capacità superiore a 100.000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16.</w:t>
      </w:r>
      <w:r w:rsidRPr="00884AA0">
        <w:rPr>
          <w:rFonts w:ascii="Times New Roman" w:hAnsi="Times New Roman"/>
          <w:sz w:val="24"/>
        </w:rPr>
        <w:tab/>
        <w:t>Attività di coltivazione sulla terraferma delle sostanze minerarie di cui alle leggi di settore.</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17.</w:t>
      </w:r>
      <w:r w:rsidRPr="00884AA0">
        <w:rPr>
          <w:rFonts w:ascii="Times New Roman" w:hAnsi="Times New Roman"/>
          <w:sz w:val="24"/>
        </w:rPr>
        <w:tab/>
        <w:t>Attività di coltivazione sulla terraferma degli idrocarburi liquidi e gassosi delle risorse geotermiche.</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18.</w:t>
      </w:r>
      <w:r w:rsidRPr="00884AA0">
        <w:rPr>
          <w:rFonts w:ascii="Times New Roman" w:hAnsi="Times New Roman"/>
          <w:sz w:val="24"/>
        </w:rPr>
        <w:tab/>
        <w:t xml:space="preserve">Elettrodotti per il trasporto di energia elettrica con tensione nominale superiore a 100 </w:t>
      </w:r>
      <w:proofErr w:type="spellStart"/>
      <w:r w:rsidRPr="00884AA0">
        <w:rPr>
          <w:rFonts w:ascii="Times New Roman" w:hAnsi="Times New Roman"/>
          <w:sz w:val="24"/>
        </w:rPr>
        <w:t>kV</w:t>
      </w:r>
      <w:proofErr w:type="spellEnd"/>
      <w:r w:rsidRPr="00884AA0">
        <w:rPr>
          <w:rFonts w:ascii="Times New Roman" w:hAnsi="Times New Roman"/>
          <w:sz w:val="24"/>
        </w:rPr>
        <w:t xml:space="preserve"> con tracciato di lunghezza superiore a 10 </w:t>
      </w:r>
      <w:proofErr w:type="spellStart"/>
      <w:r w:rsidRPr="00884AA0">
        <w:rPr>
          <w:rFonts w:ascii="Times New Roman" w:hAnsi="Times New Roman"/>
          <w:sz w:val="24"/>
        </w:rPr>
        <w:t>kilometri</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19.</w:t>
      </w:r>
      <w:r w:rsidRPr="00884AA0">
        <w:rPr>
          <w:rFonts w:ascii="Times New Roman" w:hAnsi="Times New Roman"/>
          <w:sz w:val="24"/>
        </w:rPr>
        <w:tab/>
        <w:t xml:space="preserve">Strade, piste poderali e interpoderali, di nuova realizzazione, con lunghezza superiore a 2 </w:t>
      </w:r>
      <w:proofErr w:type="spellStart"/>
      <w:r w:rsidRPr="00884AA0">
        <w:rPr>
          <w:rFonts w:ascii="Times New Roman" w:hAnsi="Times New Roman"/>
          <w:sz w:val="24"/>
        </w:rPr>
        <w:t>kilometri</w:t>
      </w:r>
      <w:proofErr w:type="spellEnd"/>
      <w:r w:rsidRPr="00884AA0">
        <w:rPr>
          <w:rFonts w:ascii="Times New Roman" w:hAnsi="Times New Roman"/>
          <w:sz w:val="24"/>
        </w:rPr>
        <w:t xml:space="preserve">. </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20.</w:t>
      </w:r>
      <w:r w:rsidRPr="00884AA0">
        <w:rPr>
          <w:rFonts w:ascii="Times New Roman" w:hAnsi="Times New Roman"/>
          <w:sz w:val="24"/>
        </w:rPr>
        <w:tab/>
        <w:t>Stoccaggio di gas combustibili in serbatoi sotterranei artificiali con una capacità complessiva superiore a 40.000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21.</w:t>
      </w:r>
      <w:r w:rsidRPr="00884AA0">
        <w:rPr>
          <w:rFonts w:ascii="Times New Roman" w:hAnsi="Times New Roman"/>
          <w:sz w:val="24"/>
        </w:rPr>
        <w:tab/>
        <w:t>Impianti per l’allevamento intensivo di pollame, di suini o di bovini con più di: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a)</w:t>
      </w:r>
      <w:r w:rsidRPr="00884AA0">
        <w:rPr>
          <w:rFonts w:ascii="Times New Roman" w:hAnsi="Times New Roman"/>
          <w:sz w:val="24"/>
        </w:rPr>
        <w:tab/>
        <w:t>2000 posti per polli da ingrasso, 2000 per galline;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b)</w:t>
      </w:r>
      <w:r w:rsidRPr="00884AA0">
        <w:rPr>
          <w:rFonts w:ascii="Times New Roman" w:hAnsi="Times New Roman"/>
          <w:sz w:val="24"/>
        </w:rPr>
        <w:tab/>
        <w:t>1000 posti per suini da produzione (di oltre 30 kg) o 500 posti per scrofe;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c)</w:t>
      </w:r>
      <w:r w:rsidRPr="00884AA0">
        <w:rPr>
          <w:rFonts w:ascii="Times New Roman" w:hAnsi="Times New Roman"/>
          <w:sz w:val="24"/>
        </w:rPr>
        <w:tab/>
        <w:t>200 unità bovine adulte (UBA).</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22.</w:t>
      </w:r>
      <w:r w:rsidRPr="00884AA0">
        <w:rPr>
          <w:rFonts w:ascii="Times New Roman" w:hAnsi="Times New Roman"/>
          <w:sz w:val="24"/>
        </w:rPr>
        <w:tab/>
        <w:t>Impianti destinati a ricavare metalli grezzi non ferrosi da minerali, nonché concentrati o materie prime secondarie attraverso procedimenti metallurgici, chimici o elettrolitici.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23.</w:t>
      </w:r>
      <w:r w:rsidRPr="00884AA0">
        <w:rPr>
          <w:rFonts w:ascii="Times New Roman" w:hAnsi="Times New Roman"/>
          <w:sz w:val="24"/>
        </w:rPr>
        <w:tab/>
        <w:t xml:space="preserve">Sistemi di ricarica artificiale delle acque freatiche in cui il volume annuale dell’acqua </w:t>
      </w:r>
      <w:r w:rsidRPr="00884AA0">
        <w:rPr>
          <w:rFonts w:ascii="Times New Roman" w:hAnsi="Times New Roman"/>
          <w:sz w:val="24"/>
        </w:rPr>
        <w:lastRenderedPageBreak/>
        <w:t>ricaricata sia superiore a 10 milioni di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24.</w:t>
      </w:r>
      <w:r w:rsidRPr="00884AA0">
        <w:rPr>
          <w:rFonts w:ascii="Times New Roman" w:hAnsi="Times New Roman"/>
          <w:sz w:val="24"/>
        </w:rPr>
        <w:tab/>
        <w:t>Opere per il trasferimento di risorse idriche tra bacini imbriferi intese a prevenire un’eventuale penuria di acqua, per un volume di acque trasferite superiore a 100 milioni di metri cubi all’anno. In tutti gli altri casi, opere per il trasferimento di risorse idriche tra bacini imbriferi con un’erogazione media pluriennale del bacino in questione superiore a 100 milioni di metri cubi all’anno e per un volume di acque trasferite superiore al 5 per cento di detta erogazione. Sono comunque esclusi i trasferimenti di acqua potabile convogliata in tubazioni.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25.</w:t>
      </w:r>
      <w:r w:rsidRPr="00884AA0">
        <w:rPr>
          <w:rFonts w:ascii="Times New Roman" w:hAnsi="Times New Roman"/>
          <w:sz w:val="24"/>
        </w:rPr>
        <w:tab/>
        <w:t xml:space="preserve">Funivie bifune, funicolari ed impianti a fune ad </w:t>
      </w:r>
      <w:proofErr w:type="spellStart"/>
      <w:r w:rsidRPr="00884AA0">
        <w:rPr>
          <w:rFonts w:ascii="Times New Roman" w:hAnsi="Times New Roman"/>
          <w:sz w:val="24"/>
        </w:rPr>
        <w:t>ammorsamento</w:t>
      </w:r>
      <w:proofErr w:type="spellEnd"/>
      <w:r w:rsidRPr="00884AA0">
        <w:rPr>
          <w:rFonts w:ascii="Times New Roman" w:hAnsi="Times New Roman"/>
          <w:sz w:val="24"/>
        </w:rPr>
        <w:t xml:space="preserve"> automatico insistenti su nuovi tracciati.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26.</w:t>
      </w:r>
      <w:r w:rsidRPr="00884AA0">
        <w:rPr>
          <w:rFonts w:ascii="Times New Roman" w:hAnsi="Times New Roman"/>
          <w:sz w:val="24"/>
        </w:rPr>
        <w:tab/>
        <w:t>Ogni modificazione o estensione dei progetti elencati nel presente allegato, ove la modificazione o l’estensione di per sé sia conforme agli eventuali limiti stabiliti nel presente allegato.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center"/>
        <w:rPr>
          <w:rFonts w:ascii="Times New Roman" w:hAnsi="Times New Roman"/>
          <w:sz w:val="24"/>
        </w:rPr>
      </w:pPr>
    </w:p>
    <w:p w:rsidR="00884AA0" w:rsidRPr="00884AA0" w:rsidRDefault="00884AA0" w:rsidP="00884AA0">
      <w:pPr>
        <w:widowControl w:val="0"/>
        <w:tabs>
          <w:tab w:val="left" w:pos="709"/>
        </w:tabs>
        <w:ind w:right="-1"/>
        <w:jc w:val="center"/>
        <w:rPr>
          <w:rFonts w:ascii="Times New Roman" w:hAnsi="Times New Roman"/>
          <w:sz w:val="24"/>
        </w:rPr>
      </w:pPr>
    </w:p>
    <w:p w:rsidR="000F62FF" w:rsidRDefault="000F62FF">
      <w:pPr>
        <w:ind w:right="282"/>
        <w:jc w:val="both"/>
        <w:rPr>
          <w:rFonts w:ascii="Times New Roman" w:hAnsi="Times New Roman"/>
          <w:sz w:val="24"/>
        </w:rPr>
      </w:pPr>
    </w:p>
    <w:sectPr w:rsidR="000F62FF">
      <w:type w:val="continuous"/>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Schbook BT">
    <w:altName w:val="Century"/>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A0"/>
    <w:rsid w:val="000F62FF"/>
    <w:rsid w:val="002507BD"/>
    <w:rsid w:val="00437ABE"/>
    <w:rsid w:val="007B6173"/>
    <w:rsid w:val="00884AA0"/>
    <w:rsid w:val="0099799A"/>
    <w:rsid w:val="00C47A9F"/>
    <w:rsid w:val="00E01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FDC9C9E-69E7-4BDE-ADC2-B1D0534F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Palatino" w:hAnsi="Palatin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l">
    <w:name w:val="dl"/>
    <w:basedOn w:val="Normale"/>
    <w:pPr>
      <w:ind w:left="426" w:right="3401" w:hanging="426"/>
      <w:jc w:val="both"/>
    </w:pPr>
    <w:rPr>
      <w:rFonts w:ascii="CentSchbook BT" w:hAnsi="CentSchbook BT"/>
      <w:sz w:val="24"/>
    </w:rPr>
  </w:style>
  <w:style w:type="paragraph" w:customStyle="1" w:styleId="lett">
    <w:name w:val="lett."/>
    <w:basedOn w:val="Normale"/>
    <w:pPr>
      <w:ind w:left="851" w:right="3401" w:hanging="425"/>
      <w:jc w:val="both"/>
    </w:pPr>
    <w:rPr>
      <w:rFonts w:ascii="CentSchbook BT" w:hAnsi="CentSchbook BT"/>
      <w:sz w:val="24"/>
    </w:rPr>
  </w:style>
  <w:style w:type="paragraph" w:customStyle="1" w:styleId="relaz">
    <w:name w:val="relaz"/>
    <w:basedOn w:val="Normale"/>
    <w:autoRedefine/>
    <w:pPr>
      <w:ind w:right="-72" w:firstLine="28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911</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Consiglio regionale della Valle d'Aosta</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Nale</dc:creator>
  <cp:keywords/>
  <dc:description/>
  <cp:lastModifiedBy>pnale</cp:lastModifiedBy>
  <cp:revision>5</cp:revision>
  <dcterms:created xsi:type="dcterms:W3CDTF">2018-05-31T13:08:00Z</dcterms:created>
  <dcterms:modified xsi:type="dcterms:W3CDTF">2018-05-31T13:29:00Z</dcterms:modified>
</cp:coreProperties>
</file>