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FD5A4" w14:textId="16ADFCDD" w:rsidR="00C162A8" w:rsidRPr="008C1188" w:rsidRDefault="00C162A8" w:rsidP="008C1188">
      <w:pPr>
        <w:spacing w:after="0" w:line="288" w:lineRule="auto"/>
        <w:contextualSpacing/>
        <w:rPr>
          <w:rFonts w:ascii="Times New Roman" w:hAnsi="Times New Roman" w:cs="Times New Roman"/>
          <w:b/>
          <w:sz w:val="40"/>
          <w:szCs w:val="40"/>
        </w:rPr>
      </w:pPr>
      <w:bookmarkStart w:id="0" w:name="_GoBack"/>
      <w:bookmarkEnd w:id="0"/>
    </w:p>
    <w:p w14:paraId="0F0C77D6" w14:textId="31FF3140" w:rsidR="008C25C8" w:rsidRPr="008C1188" w:rsidRDefault="008C25C8" w:rsidP="008C1188">
      <w:pPr>
        <w:spacing w:after="0" w:line="288" w:lineRule="auto"/>
        <w:contextualSpacing/>
        <w:jc w:val="center"/>
        <w:rPr>
          <w:rFonts w:ascii="Times New Roman" w:hAnsi="Times New Roman" w:cs="Times New Roman"/>
          <w:b/>
          <w:sz w:val="40"/>
          <w:szCs w:val="40"/>
        </w:rPr>
      </w:pPr>
      <w:r w:rsidRPr="008C1188">
        <w:rPr>
          <w:rFonts w:ascii="Times New Roman" w:hAnsi="Times New Roman" w:cs="Times New Roman"/>
          <w:b/>
          <w:sz w:val="40"/>
          <w:szCs w:val="40"/>
        </w:rPr>
        <w:t xml:space="preserve">DOCUMENTO DI ECONOMIA E FINANZA REGIONALE (DEFR) </w:t>
      </w:r>
    </w:p>
    <w:p w14:paraId="3801F664" w14:textId="1D5CBE31" w:rsidR="0069748C" w:rsidRPr="008C1188" w:rsidRDefault="008C25C8" w:rsidP="008C1188">
      <w:pPr>
        <w:spacing w:after="0" w:line="288" w:lineRule="auto"/>
        <w:contextualSpacing/>
        <w:jc w:val="center"/>
        <w:rPr>
          <w:rFonts w:ascii="Times New Roman" w:hAnsi="Times New Roman" w:cs="Times New Roman"/>
          <w:b/>
          <w:sz w:val="40"/>
          <w:szCs w:val="40"/>
        </w:rPr>
      </w:pPr>
      <w:r w:rsidRPr="008C1188">
        <w:rPr>
          <w:rFonts w:ascii="Times New Roman" w:hAnsi="Times New Roman" w:cs="Times New Roman"/>
          <w:b/>
          <w:sz w:val="40"/>
          <w:szCs w:val="40"/>
        </w:rPr>
        <w:t>PER IL TRIENNIO 202</w:t>
      </w:r>
      <w:r w:rsidR="001C4934" w:rsidRPr="008C1188">
        <w:rPr>
          <w:rFonts w:ascii="Times New Roman" w:hAnsi="Times New Roman" w:cs="Times New Roman"/>
          <w:b/>
          <w:sz w:val="40"/>
          <w:szCs w:val="40"/>
        </w:rPr>
        <w:t>5</w:t>
      </w:r>
      <w:r w:rsidRPr="008C1188">
        <w:rPr>
          <w:rFonts w:ascii="Times New Roman" w:hAnsi="Times New Roman" w:cs="Times New Roman"/>
          <w:b/>
          <w:sz w:val="40"/>
          <w:szCs w:val="40"/>
        </w:rPr>
        <w:t>-202</w:t>
      </w:r>
      <w:r w:rsidR="001C4934" w:rsidRPr="008C1188">
        <w:rPr>
          <w:rFonts w:ascii="Times New Roman" w:hAnsi="Times New Roman" w:cs="Times New Roman"/>
          <w:b/>
          <w:sz w:val="40"/>
          <w:szCs w:val="40"/>
        </w:rPr>
        <w:t>7</w:t>
      </w:r>
    </w:p>
    <w:p w14:paraId="7CC6C6E1" w14:textId="444A7EFF" w:rsidR="000F5AAE" w:rsidRPr="008C1188" w:rsidRDefault="000F5AAE" w:rsidP="008C1188">
      <w:pPr>
        <w:spacing w:after="0" w:line="288" w:lineRule="auto"/>
        <w:contextualSpacing/>
        <w:rPr>
          <w:rFonts w:ascii="Times New Roman" w:hAnsi="Times New Roman" w:cs="Times New Roman"/>
          <w:b/>
          <w:sz w:val="40"/>
          <w:szCs w:val="40"/>
        </w:rPr>
      </w:pPr>
    </w:p>
    <w:p w14:paraId="5018FA56" w14:textId="77777777" w:rsidR="00A92FDD" w:rsidRPr="008C1188" w:rsidRDefault="00A92FDD" w:rsidP="008C1188">
      <w:pPr>
        <w:spacing w:after="0" w:line="288" w:lineRule="auto"/>
        <w:contextualSpacing/>
        <w:jc w:val="center"/>
        <w:rPr>
          <w:rFonts w:ascii="Times New Roman" w:hAnsi="Times New Roman" w:cs="Times New Roman"/>
          <w:b/>
          <w:sz w:val="40"/>
          <w:szCs w:val="40"/>
        </w:rPr>
      </w:pPr>
    </w:p>
    <w:p w14:paraId="54CFEE37" w14:textId="0893A024" w:rsidR="0062632B" w:rsidRPr="008C1188" w:rsidRDefault="00D54C40"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Il </w:t>
      </w:r>
      <w:r w:rsidR="0062632B" w:rsidRPr="008C1188">
        <w:rPr>
          <w:rFonts w:ascii="Times New Roman" w:hAnsi="Times New Roman" w:cs="Times New Roman"/>
          <w:sz w:val="40"/>
          <w:szCs w:val="40"/>
        </w:rPr>
        <w:t xml:space="preserve">documento di programmazione finanziaria che siamo chiamati ad analizzare oggi in aula identifica gli obiettivi strategici e le priorità dell’azione dell’Amministrazione regionale, quantificandone gli oneri finanziari connessi. </w:t>
      </w:r>
    </w:p>
    <w:p w14:paraId="621F6409" w14:textId="6282F3CD" w:rsidR="00D54C40" w:rsidRPr="008C1188" w:rsidRDefault="0062632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Il DEFR 2025-2027 rappresenta </w:t>
      </w:r>
      <w:r w:rsidR="00D54C40" w:rsidRPr="008C1188">
        <w:rPr>
          <w:rFonts w:ascii="Times New Roman" w:hAnsi="Times New Roman" w:cs="Times New Roman"/>
          <w:sz w:val="40"/>
          <w:szCs w:val="40"/>
        </w:rPr>
        <w:t xml:space="preserve">lo strumento di avvio del ciclo di programmazione inteso nel senso più ampio del termine, ovvero comprendente oltre al bilancio di previsione, il Piano integrato di attività e organizzazione (PIAO), la legge di assestamento al bilancio e il rendiconto. </w:t>
      </w:r>
    </w:p>
    <w:p w14:paraId="4126647D" w14:textId="77777777" w:rsidR="0062632B" w:rsidRPr="008C1188" w:rsidRDefault="0062632B" w:rsidP="008C1188">
      <w:pPr>
        <w:spacing w:after="0" w:line="288" w:lineRule="auto"/>
        <w:contextualSpacing/>
        <w:jc w:val="both"/>
        <w:rPr>
          <w:rFonts w:ascii="Times New Roman" w:hAnsi="Times New Roman" w:cs="Times New Roman"/>
          <w:sz w:val="40"/>
          <w:szCs w:val="40"/>
        </w:rPr>
      </w:pPr>
    </w:p>
    <w:p w14:paraId="100FF518" w14:textId="70C9B951" w:rsidR="00B62EEC" w:rsidRPr="008C1188" w:rsidRDefault="00C80EA2"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In continuità</w:t>
      </w:r>
      <w:r w:rsidR="0062632B" w:rsidRPr="008C1188">
        <w:rPr>
          <w:rFonts w:ascii="Times New Roman" w:hAnsi="Times New Roman" w:cs="Times New Roman"/>
          <w:sz w:val="40"/>
          <w:szCs w:val="40"/>
        </w:rPr>
        <w:t xml:space="preserve"> a quanto approvato lo scorso anno,</w:t>
      </w:r>
      <w:r w:rsidR="00D54C40" w:rsidRPr="008C1188">
        <w:rPr>
          <w:rFonts w:ascii="Times New Roman" w:hAnsi="Times New Roman" w:cs="Times New Roman"/>
          <w:sz w:val="40"/>
          <w:szCs w:val="40"/>
        </w:rPr>
        <w:t xml:space="preserve"> </w:t>
      </w:r>
      <w:r w:rsidR="0062632B" w:rsidRPr="008C1188">
        <w:rPr>
          <w:rFonts w:ascii="Times New Roman" w:hAnsi="Times New Roman" w:cs="Times New Roman"/>
          <w:sz w:val="40"/>
          <w:szCs w:val="40"/>
        </w:rPr>
        <w:t xml:space="preserve">il documento </w:t>
      </w:r>
      <w:r w:rsidR="00D54C40" w:rsidRPr="008C1188">
        <w:rPr>
          <w:rFonts w:ascii="Times New Roman" w:hAnsi="Times New Roman" w:cs="Times New Roman"/>
          <w:sz w:val="40"/>
          <w:szCs w:val="40"/>
        </w:rPr>
        <w:t xml:space="preserve">monitora l’attuazione degli obiettivi iscritti nel precedente </w:t>
      </w:r>
      <w:r w:rsidR="0062632B" w:rsidRPr="008C1188">
        <w:rPr>
          <w:rFonts w:ascii="Times New Roman" w:hAnsi="Times New Roman" w:cs="Times New Roman"/>
          <w:sz w:val="40"/>
          <w:szCs w:val="40"/>
        </w:rPr>
        <w:t>DEFR</w:t>
      </w:r>
      <w:r w:rsidR="00B62EEC" w:rsidRPr="008C1188">
        <w:rPr>
          <w:rFonts w:ascii="Times New Roman" w:hAnsi="Times New Roman" w:cs="Times New Roman"/>
          <w:sz w:val="40"/>
          <w:szCs w:val="40"/>
        </w:rPr>
        <w:t xml:space="preserve">, </w:t>
      </w:r>
      <w:r w:rsidR="0062632B" w:rsidRPr="008C1188">
        <w:rPr>
          <w:rFonts w:ascii="Times New Roman" w:hAnsi="Times New Roman" w:cs="Times New Roman"/>
          <w:sz w:val="40"/>
          <w:szCs w:val="40"/>
        </w:rPr>
        <w:t xml:space="preserve">verificandone lo stato di avanzamento e </w:t>
      </w:r>
      <w:r w:rsidR="00D54C40" w:rsidRPr="008C1188">
        <w:rPr>
          <w:rFonts w:ascii="Times New Roman" w:hAnsi="Times New Roman" w:cs="Times New Roman"/>
          <w:sz w:val="40"/>
          <w:szCs w:val="40"/>
        </w:rPr>
        <w:t xml:space="preserve">con la consapevolezza della necessità di proseguire con le molteplici attività e </w:t>
      </w:r>
      <w:r w:rsidRPr="008C1188">
        <w:rPr>
          <w:rFonts w:ascii="Times New Roman" w:hAnsi="Times New Roman" w:cs="Times New Roman"/>
          <w:sz w:val="40"/>
          <w:szCs w:val="40"/>
        </w:rPr>
        <w:t xml:space="preserve">i </w:t>
      </w:r>
      <w:r w:rsidR="00D54C40" w:rsidRPr="008C1188">
        <w:rPr>
          <w:rFonts w:ascii="Times New Roman" w:hAnsi="Times New Roman" w:cs="Times New Roman"/>
          <w:sz w:val="40"/>
          <w:szCs w:val="40"/>
        </w:rPr>
        <w:t>compiti che svolge la Regione.</w:t>
      </w:r>
    </w:p>
    <w:p w14:paraId="48B9CE39" w14:textId="77777777" w:rsidR="0062632B" w:rsidRPr="008C1188" w:rsidRDefault="0062632B" w:rsidP="008C1188">
      <w:pPr>
        <w:spacing w:after="0" w:line="288" w:lineRule="auto"/>
        <w:contextualSpacing/>
        <w:jc w:val="both"/>
        <w:rPr>
          <w:rFonts w:ascii="Times New Roman" w:hAnsi="Times New Roman" w:cs="Times New Roman"/>
          <w:sz w:val="40"/>
          <w:szCs w:val="40"/>
        </w:rPr>
      </w:pPr>
    </w:p>
    <w:p w14:paraId="7DDA3575" w14:textId="74BB3ECB" w:rsidR="00287C5F" w:rsidRPr="008C1188" w:rsidRDefault="00D54C40"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Tale approccio, inteso a orientare l’attività amministrativa per priorità e misurarne i risultati, è coerente con i più moderni modelli organizzativi, oltre a costituire una possibile riposta a un’esigenza sentita sia dalla struttura amministrativa sia da cittadini e imprese.</w:t>
      </w:r>
    </w:p>
    <w:p w14:paraId="5C5D2CF5" w14:textId="4193F0C8" w:rsidR="00287C5F" w:rsidRDefault="00253C99"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Peraltro, la</w:t>
      </w:r>
      <w:r w:rsidR="00287C5F" w:rsidRPr="008C1188">
        <w:rPr>
          <w:rFonts w:ascii="Times New Roman" w:hAnsi="Times New Roman" w:cs="Times New Roman"/>
          <w:sz w:val="40"/>
          <w:szCs w:val="40"/>
        </w:rPr>
        <w:t xml:space="preserve"> tendenza in atto nei documenti programmatori è orientata a renderli più chiari e snelli per permettere l’identificazione e l’assunzione di obiettivi quantificabili, raggiungibili e misurabili</w:t>
      </w:r>
      <w:r w:rsidRPr="008C1188">
        <w:rPr>
          <w:rFonts w:ascii="Times New Roman" w:hAnsi="Times New Roman" w:cs="Times New Roman"/>
          <w:sz w:val="40"/>
          <w:szCs w:val="40"/>
        </w:rPr>
        <w:t xml:space="preserve"> e tali linee sono state recepite nel documento in esame.</w:t>
      </w:r>
    </w:p>
    <w:p w14:paraId="638906C4"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272314A5" w14:textId="633E1DE6" w:rsidR="00287C5F" w:rsidRPr="008C1188" w:rsidRDefault="00287C5F"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Per giungere alla sua articolazione</w:t>
      </w:r>
      <w:r w:rsidR="00253C99" w:rsidRPr="008C1188">
        <w:rPr>
          <w:rFonts w:ascii="Times New Roman" w:hAnsi="Times New Roman" w:cs="Times New Roman"/>
          <w:sz w:val="40"/>
          <w:szCs w:val="40"/>
        </w:rPr>
        <w:t>,</w:t>
      </w:r>
      <w:r w:rsidRPr="008C1188">
        <w:rPr>
          <w:rFonts w:ascii="Times New Roman" w:hAnsi="Times New Roman" w:cs="Times New Roman"/>
          <w:sz w:val="40"/>
          <w:szCs w:val="40"/>
        </w:rPr>
        <w:t xml:space="preserve"> il documento di economia e finanza regionale è composto</w:t>
      </w:r>
      <w:r w:rsidR="00253C99" w:rsidRPr="008C1188">
        <w:rPr>
          <w:rFonts w:ascii="Times New Roman" w:hAnsi="Times New Roman" w:cs="Times New Roman"/>
          <w:sz w:val="40"/>
          <w:szCs w:val="40"/>
        </w:rPr>
        <w:t xml:space="preserve"> da 5 sezioni così suddivise:</w:t>
      </w:r>
    </w:p>
    <w:p w14:paraId="09A253DB" w14:textId="77777777" w:rsidR="00ED5ABF" w:rsidRPr="008C1188" w:rsidRDefault="00ED5ABF" w:rsidP="008C1188">
      <w:pPr>
        <w:spacing w:after="0" w:line="288" w:lineRule="auto"/>
        <w:contextualSpacing/>
        <w:jc w:val="both"/>
        <w:rPr>
          <w:rFonts w:ascii="Times New Roman" w:hAnsi="Times New Roman" w:cs="Times New Roman"/>
          <w:b/>
          <w:bCs/>
          <w:sz w:val="40"/>
          <w:szCs w:val="40"/>
        </w:rPr>
      </w:pPr>
      <w:r w:rsidRPr="008C1188">
        <w:rPr>
          <w:rFonts w:ascii="Times New Roman" w:hAnsi="Times New Roman" w:cs="Times New Roman"/>
          <w:b/>
          <w:bCs/>
          <w:sz w:val="40"/>
          <w:szCs w:val="40"/>
        </w:rPr>
        <w:t>La sezione 1 comprende:</w:t>
      </w:r>
    </w:p>
    <w:p w14:paraId="29E9AB1B" w14:textId="18418260" w:rsidR="00287C5F" w:rsidRPr="008C1188"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 xml:space="preserve">il </w:t>
      </w:r>
      <w:r w:rsidR="008C1188">
        <w:rPr>
          <w:rFonts w:ascii="Times New Roman" w:hAnsi="Times New Roman" w:cs="Times New Roman"/>
          <w:sz w:val="40"/>
          <w:szCs w:val="40"/>
        </w:rPr>
        <w:t>q</w:t>
      </w:r>
      <w:r w:rsidR="00287C5F" w:rsidRPr="008C1188">
        <w:rPr>
          <w:rFonts w:ascii="Times New Roman" w:hAnsi="Times New Roman" w:cs="Times New Roman"/>
          <w:sz w:val="40"/>
          <w:szCs w:val="40"/>
        </w:rPr>
        <w:t>uadro sintetico del contesto economico e finanziario;</w:t>
      </w:r>
    </w:p>
    <w:p w14:paraId="6CD88201" w14:textId="276E0758" w:rsidR="00287C5F" w:rsidRPr="008C1188"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il</w:t>
      </w:r>
      <w:r w:rsidR="008C1188">
        <w:rPr>
          <w:rFonts w:ascii="Times New Roman" w:hAnsi="Times New Roman" w:cs="Times New Roman"/>
          <w:sz w:val="40"/>
          <w:szCs w:val="40"/>
        </w:rPr>
        <w:t xml:space="preserve"> q</w:t>
      </w:r>
      <w:r w:rsidR="00287C5F" w:rsidRPr="008C1188">
        <w:rPr>
          <w:rFonts w:ascii="Times New Roman" w:hAnsi="Times New Roman" w:cs="Times New Roman"/>
          <w:sz w:val="40"/>
          <w:szCs w:val="40"/>
        </w:rPr>
        <w:t>uadro istituzionale: sistema delle partecipate</w:t>
      </w:r>
      <w:r w:rsidR="00D71424" w:rsidRPr="008C1188">
        <w:rPr>
          <w:rFonts w:ascii="Times New Roman" w:hAnsi="Times New Roman" w:cs="Times New Roman"/>
          <w:sz w:val="40"/>
          <w:szCs w:val="40"/>
        </w:rPr>
        <w:t xml:space="preserve">, </w:t>
      </w:r>
      <w:r w:rsidR="005D3A67" w:rsidRPr="008C1188">
        <w:rPr>
          <w:rFonts w:ascii="Times New Roman" w:hAnsi="Times New Roman" w:cs="Times New Roman"/>
          <w:sz w:val="40"/>
          <w:szCs w:val="40"/>
        </w:rPr>
        <w:t>enti strumentali e organizzazione dell’amministrazione;</w:t>
      </w:r>
    </w:p>
    <w:p w14:paraId="1B269482" w14:textId="3245EE6E" w:rsidR="005D3A67"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il</w:t>
      </w:r>
      <w:r w:rsidR="008C1188">
        <w:rPr>
          <w:rFonts w:ascii="Times New Roman" w:hAnsi="Times New Roman" w:cs="Times New Roman"/>
          <w:sz w:val="40"/>
          <w:szCs w:val="40"/>
        </w:rPr>
        <w:t xml:space="preserve"> q</w:t>
      </w:r>
      <w:r w:rsidR="005D3A67" w:rsidRPr="008C1188">
        <w:rPr>
          <w:rFonts w:ascii="Times New Roman" w:hAnsi="Times New Roman" w:cs="Times New Roman"/>
          <w:sz w:val="40"/>
          <w:szCs w:val="40"/>
        </w:rPr>
        <w:t>uadro territoriale e degli enti locali</w:t>
      </w:r>
      <w:r w:rsidR="00AC0864" w:rsidRPr="008C1188">
        <w:rPr>
          <w:rFonts w:ascii="Times New Roman" w:hAnsi="Times New Roman" w:cs="Times New Roman"/>
          <w:sz w:val="40"/>
          <w:szCs w:val="40"/>
        </w:rPr>
        <w:t>.</w:t>
      </w:r>
    </w:p>
    <w:p w14:paraId="08ADD95C" w14:textId="77777777" w:rsidR="0091181A" w:rsidRPr="0091181A" w:rsidRDefault="0091181A" w:rsidP="0091181A">
      <w:pPr>
        <w:pStyle w:val="Paragrafoelenco"/>
        <w:spacing w:after="0" w:line="288" w:lineRule="auto"/>
        <w:jc w:val="both"/>
        <w:rPr>
          <w:rFonts w:ascii="Times New Roman" w:hAnsi="Times New Roman" w:cs="Times New Roman"/>
          <w:sz w:val="24"/>
          <w:szCs w:val="24"/>
        </w:rPr>
      </w:pPr>
    </w:p>
    <w:p w14:paraId="3353A357" w14:textId="59440345" w:rsidR="00ED5ABF" w:rsidRPr="008C1188" w:rsidRDefault="00ED5ABF" w:rsidP="008C1188">
      <w:pPr>
        <w:spacing w:after="0" w:line="288" w:lineRule="auto"/>
        <w:contextualSpacing/>
        <w:jc w:val="both"/>
        <w:rPr>
          <w:rFonts w:ascii="Times New Roman" w:hAnsi="Times New Roman" w:cs="Times New Roman"/>
          <w:b/>
          <w:bCs/>
          <w:sz w:val="40"/>
          <w:szCs w:val="40"/>
        </w:rPr>
      </w:pPr>
      <w:r w:rsidRPr="008C1188">
        <w:rPr>
          <w:rFonts w:ascii="Times New Roman" w:hAnsi="Times New Roman" w:cs="Times New Roman"/>
          <w:b/>
          <w:bCs/>
          <w:sz w:val="40"/>
          <w:szCs w:val="40"/>
        </w:rPr>
        <w:t>La sezione 2 da contezza:</w:t>
      </w:r>
    </w:p>
    <w:p w14:paraId="3A60BF03" w14:textId="703E94BC" w:rsidR="00AC0864" w:rsidRPr="008C1188"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del</w:t>
      </w:r>
      <w:r w:rsidR="008C1188">
        <w:rPr>
          <w:rFonts w:ascii="Times New Roman" w:hAnsi="Times New Roman" w:cs="Times New Roman"/>
          <w:sz w:val="40"/>
          <w:szCs w:val="40"/>
        </w:rPr>
        <w:t xml:space="preserve"> q</w:t>
      </w:r>
      <w:r w:rsidR="00AC0864" w:rsidRPr="008C1188">
        <w:rPr>
          <w:rFonts w:ascii="Times New Roman" w:hAnsi="Times New Roman" w:cs="Times New Roman"/>
          <w:sz w:val="40"/>
          <w:szCs w:val="40"/>
        </w:rPr>
        <w:t>uadro tendenziale di finanza pubblica regionale;</w:t>
      </w:r>
    </w:p>
    <w:p w14:paraId="6C4A3CAF" w14:textId="1F139C0B" w:rsidR="00AC0864" w:rsidRPr="008C1188"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del</w:t>
      </w:r>
      <w:r w:rsidR="008C1188">
        <w:rPr>
          <w:rFonts w:ascii="Times New Roman" w:hAnsi="Times New Roman" w:cs="Times New Roman"/>
          <w:sz w:val="40"/>
          <w:szCs w:val="40"/>
        </w:rPr>
        <w:t xml:space="preserve"> q</w:t>
      </w:r>
      <w:r w:rsidR="00AC0864" w:rsidRPr="008C1188">
        <w:rPr>
          <w:rFonts w:ascii="Times New Roman" w:hAnsi="Times New Roman" w:cs="Times New Roman"/>
          <w:sz w:val="40"/>
          <w:szCs w:val="40"/>
        </w:rPr>
        <w:t>uadro delle risorse messe a disposizione dai programmi a cofinanziamento europeo, statale e regionale;</w:t>
      </w:r>
    </w:p>
    <w:p w14:paraId="4DBB9F75" w14:textId="1B1D0989" w:rsidR="007057B5"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del</w:t>
      </w:r>
      <w:r w:rsidR="008C1188">
        <w:rPr>
          <w:rFonts w:ascii="Times New Roman" w:hAnsi="Times New Roman" w:cs="Times New Roman"/>
          <w:sz w:val="40"/>
          <w:szCs w:val="40"/>
        </w:rPr>
        <w:t xml:space="preserve"> q</w:t>
      </w:r>
      <w:r w:rsidR="00AC0864" w:rsidRPr="008C1188">
        <w:rPr>
          <w:rFonts w:ascii="Times New Roman" w:hAnsi="Times New Roman" w:cs="Times New Roman"/>
          <w:sz w:val="40"/>
          <w:szCs w:val="40"/>
        </w:rPr>
        <w:t>uadro delle risorse messe a disposizione dal PNRR e dal PNC (Piano Investimenti Complementari).</w:t>
      </w:r>
    </w:p>
    <w:p w14:paraId="731F4C96" w14:textId="77777777" w:rsidR="0091181A" w:rsidRPr="0091181A" w:rsidRDefault="0091181A" w:rsidP="0091181A">
      <w:pPr>
        <w:pStyle w:val="Paragrafoelenco"/>
        <w:spacing w:after="0" w:line="288" w:lineRule="auto"/>
        <w:jc w:val="both"/>
        <w:rPr>
          <w:rFonts w:ascii="Times New Roman" w:hAnsi="Times New Roman" w:cs="Times New Roman"/>
        </w:rPr>
      </w:pPr>
    </w:p>
    <w:p w14:paraId="5E7E0B1C" w14:textId="77777777" w:rsidR="00ED5ABF" w:rsidRPr="008C1188" w:rsidRDefault="00ED5ABF" w:rsidP="008C1188">
      <w:pPr>
        <w:spacing w:after="0" w:line="288" w:lineRule="auto"/>
        <w:contextualSpacing/>
        <w:jc w:val="both"/>
        <w:rPr>
          <w:rFonts w:ascii="Times New Roman" w:hAnsi="Times New Roman" w:cs="Times New Roman"/>
          <w:b/>
          <w:bCs/>
          <w:sz w:val="40"/>
          <w:szCs w:val="40"/>
        </w:rPr>
      </w:pPr>
      <w:r w:rsidRPr="008C1188">
        <w:rPr>
          <w:rFonts w:ascii="Times New Roman" w:hAnsi="Times New Roman" w:cs="Times New Roman"/>
          <w:b/>
          <w:bCs/>
          <w:sz w:val="40"/>
          <w:szCs w:val="40"/>
        </w:rPr>
        <w:t>La sezione 3 definisce:</w:t>
      </w:r>
    </w:p>
    <w:p w14:paraId="2B493A80" w14:textId="77B6AFAE" w:rsidR="00AC0864" w:rsidRPr="008C1188" w:rsidRDefault="007834C3" w:rsidP="008C1188">
      <w:pPr>
        <w:pStyle w:val="Paragrafoelenco"/>
        <w:numPr>
          <w:ilvl w:val="0"/>
          <w:numId w:val="19"/>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g</w:t>
      </w:r>
      <w:r w:rsidR="00ED5ABF" w:rsidRPr="008C1188">
        <w:rPr>
          <w:rFonts w:ascii="Times New Roman" w:hAnsi="Times New Roman" w:cs="Times New Roman"/>
          <w:sz w:val="40"/>
          <w:szCs w:val="40"/>
        </w:rPr>
        <w:t>li o</w:t>
      </w:r>
      <w:r w:rsidR="00AC0864" w:rsidRPr="008C1188">
        <w:rPr>
          <w:rFonts w:ascii="Times New Roman" w:hAnsi="Times New Roman" w:cs="Times New Roman"/>
          <w:sz w:val="40"/>
          <w:szCs w:val="40"/>
        </w:rPr>
        <w:t>biettivi strategici</w:t>
      </w:r>
      <w:r w:rsidR="00253C99" w:rsidRPr="008C1188">
        <w:rPr>
          <w:rFonts w:ascii="Times New Roman" w:hAnsi="Times New Roman" w:cs="Times New Roman"/>
          <w:sz w:val="40"/>
          <w:szCs w:val="40"/>
        </w:rPr>
        <w:t>:</w:t>
      </w:r>
      <w:r w:rsidR="009B28C0" w:rsidRPr="008C1188">
        <w:rPr>
          <w:rFonts w:ascii="Times New Roman" w:hAnsi="Times New Roman" w:cs="Times New Roman"/>
          <w:sz w:val="40"/>
          <w:szCs w:val="40"/>
        </w:rPr>
        <w:t xml:space="preserve"> p</w:t>
      </w:r>
      <w:r w:rsidR="00AC0864" w:rsidRPr="008C1188">
        <w:rPr>
          <w:rFonts w:ascii="Times New Roman" w:hAnsi="Times New Roman" w:cs="Times New Roman"/>
          <w:sz w:val="40"/>
          <w:szCs w:val="40"/>
        </w:rPr>
        <w:t>er ogni singolo Assessorato</w:t>
      </w:r>
      <w:r w:rsidR="007B50BA" w:rsidRPr="008C1188">
        <w:rPr>
          <w:rFonts w:ascii="Times New Roman" w:hAnsi="Times New Roman" w:cs="Times New Roman"/>
          <w:sz w:val="40"/>
          <w:szCs w:val="40"/>
        </w:rPr>
        <w:t>, oltre che per la Presidenza della Regione,</w:t>
      </w:r>
      <w:r w:rsidR="00AC0864" w:rsidRPr="008C1188">
        <w:rPr>
          <w:rFonts w:ascii="Times New Roman" w:hAnsi="Times New Roman" w:cs="Times New Roman"/>
          <w:sz w:val="40"/>
          <w:szCs w:val="40"/>
        </w:rPr>
        <w:t xml:space="preserve"> </w:t>
      </w:r>
      <w:r w:rsidR="007B50BA" w:rsidRPr="008C1188">
        <w:rPr>
          <w:rFonts w:ascii="Times New Roman" w:hAnsi="Times New Roman" w:cs="Times New Roman"/>
          <w:sz w:val="40"/>
          <w:szCs w:val="40"/>
        </w:rPr>
        <w:t>sono presentate</w:t>
      </w:r>
      <w:r w:rsidR="00AC0864" w:rsidRPr="008C1188">
        <w:rPr>
          <w:rFonts w:ascii="Times New Roman" w:hAnsi="Times New Roman" w:cs="Times New Roman"/>
          <w:sz w:val="40"/>
          <w:szCs w:val="40"/>
        </w:rPr>
        <w:t xml:space="preserve"> </w:t>
      </w:r>
      <w:r w:rsidR="007B50BA" w:rsidRPr="008C1188">
        <w:rPr>
          <w:rFonts w:ascii="Times New Roman" w:hAnsi="Times New Roman" w:cs="Times New Roman"/>
          <w:sz w:val="40"/>
          <w:szCs w:val="40"/>
        </w:rPr>
        <w:t xml:space="preserve">le </w:t>
      </w:r>
      <w:r w:rsidR="00AC0864" w:rsidRPr="008C1188">
        <w:rPr>
          <w:rFonts w:ascii="Times New Roman" w:hAnsi="Times New Roman" w:cs="Times New Roman"/>
          <w:sz w:val="40"/>
          <w:szCs w:val="40"/>
        </w:rPr>
        <w:t>attività per il prossimo triennio</w:t>
      </w:r>
      <w:r w:rsidR="00D71424" w:rsidRPr="008C1188">
        <w:rPr>
          <w:rFonts w:ascii="Times New Roman" w:hAnsi="Times New Roman" w:cs="Times New Roman"/>
          <w:sz w:val="40"/>
          <w:szCs w:val="40"/>
        </w:rPr>
        <w:t xml:space="preserve"> e illustrati ed aggiornati gli</w:t>
      </w:r>
      <w:r w:rsidR="00AC0864" w:rsidRPr="008C1188">
        <w:rPr>
          <w:rFonts w:ascii="Times New Roman" w:hAnsi="Times New Roman" w:cs="Times New Roman"/>
          <w:sz w:val="40"/>
          <w:szCs w:val="40"/>
        </w:rPr>
        <w:t xml:space="preserve"> obiettivi.</w:t>
      </w:r>
    </w:p>
    <w:p w14:paraId="0873D34E" w14:textId="0E499BDE" w:rsidR="00ED5ABF" w:rsidRPr="008C1188" w:rsidRDefault="00ED5ABF" w:rsidP="008C1188">
      <w:pPr>
        <w:spacing w:after="0" w:line="288" w:lineRule="auto"/>
        <w:contextualSpacing/>
        <w:jc w:val="both"/>
        <w:rPr>
          <w:rFonts w:ascii="Times New Roman" w:hAnsi="Times New Roman" w:cs="Times New Roman"/>
          <w:b/>
          <w:bCs/>
          <w:sz w:val="40"/>
          <w:szCs w:val="40"/>
        </w:rPr>
      </w:pPr>
      <w:r w:rsidRPr="008C1188">
        <w:rPr>
          <w:rFonts w:ascii="Times New Roman" w:hAnsi="Times New Roman" w:cs="Times New Roman"/>
          <w:b/>
          <w:bCs/>
          <w:sz w:val="40"/>
          <w:szCs w:val="40"/>
        </w:rPr>
        <w:lastRenderedPageBreak/>
        <w:t>Dalla sezione 4 emergono:</w:t>
      </w:r>
    </w:p>
    <w:p w14:paraId="4F4F08EE" w14:textId="33C30241" w:rsidR="00AC0864"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g</w:t>
      </w:r>
      <w:r w:rsidR="00ED5ABF" w:rsidRPr="008C1188">
        <w:rPr>
          <w:rFonts w:ascii="Times New Roman" w:hAnsi="Times New Roman" w:cs="Times New Roman"/>
          <w:sz w:val="40"/>
          <w:szCs w:val="40"/>
        </w:rPr>
        <w:t>li i</w:t>
      </w:r>
      <w:r w:rsidR="00AC0864" w:rsidRPr="008C1188">
        <w:rPr>
          <w:rFonts w:ascii="Times New Roman" w:hAnsi="Times New Roman" w:cs="Times New Roman"/>
          <w:sz w:val="40"/>
          <w:szCs w:val="40"/>
        </w:rPr>
        <w:t>ndirizzi agli altri soggetti di rilevanza regionale: società controllate e in house, società partecipate ed enti strumentali.</w:t>
      </w:r>
    </w:p>
    <w:p w14:paraId="74606569" w14:textId="77777777" w:rsidR="0091181A" w:rsidRPr="008C1188" w:rsidRDefault="0091181A" w:rsidP="0091181A">
      <w:pPr>
        <w:pStyle w:val="Paragrafoelenco"/>
        <w:spacing w:after="0" w:line="288" w:lineRule="auto"/>
        <w:jc w:val="both"/>
        <w:rPr>
          <w:rFonts w:ascii="Times New Roman" w:hAnsi="Times New Roman" w:cs="Times New Roman"/>
          <w:sz w:val="40"/>
          <w:szCs w:val="40"/>
        </w:rPr>
      </w:pPr>
    </w:p>
    <w:p w14:paraId="5C9E8CC2" w14:textId="7E11D101" w:rsidR="00AC0864" w:rsidRPr="008C1188" w:rsidRDefault="00ED5ABF" w:rsidP="008C1188">
      <w:pPr>
        <w:spacing w:after="0" w:line="288" w:lineRule="auto"/>
        <w:contextualSpacing/>
        <w:jc w:val="both"/>
        <w:rPr>
          <w:rFonts w:ascii="Times New Roman" w:hAnsi="Times New Roman" w:cs="Times New Roman"/>
          <w:b/>
          <w:bCs/>
          <w:sz w:val="40"/>
          <w:szCs w:val="40"/>
        </w:rPr>
      </w:pPr>
      <w:r w:rsidRPr="008C1188">
        <w:rPr>
          <w:rFonts w:ascii="Times New Roman" w:hAnsi="Times New Roman" w:cs="Times New Roman"/>
          <w:b/>
          <w:bCs/>
          <w:sz w:val="40"/>
          <w:szCs w:val="40"/>
        </w:rPr>
        <w:t>Nella sezione 5 troviamo:</w:t>
      </w:r>
    </w:p>
    <w:p w14:paraId="7C4D0618" w14:textId="684DB58F" w:rsidR="00253C99" w:rsidRPr="008C1188" w:rsidRDefault="007834C3" w:rsidP="008C1188">
      <w:pPr>
        <w:pStyle w:val="Paragrafoelenco"/>
        <w:numPr>
          <w:ilvl w:val="0"/>
          <w:numId w:val="15"/>
        </w:numPr>
        <w:spacing w:after="0" w:line="288" w:lineRule="auto"/>
        <w:jc w:val="both"/>
        <w:rPr>
          <w:rFonts w:ascii="Times New Roman" w:hAnsi="Times New Roman" w:cs="Times New Roman"/>
          <w:sz w:val="40"/>
          <w:szCs w:val="40"/>
        </w:rPr>
      </w:pPr>
      <w:r>
        <w:rPr>
          <w:rFonts w:ascii="Times New Roman" w:hAnsi="Times New Roman" w:cs="Times New Roman"/>
          <w:sz w:val="40"/>
          <w:szCs w:val="40"/>
        </w:rPr>
        <w:t>l</w:t>
      </w:r>
      <w:r w:rsidR="00ED5ABF" w:rsidRPr="008C1188">
        <w:rPr>
          <w:rFonts w:ascii="Times New Roman" w:hAnsi="Times New Roman" w:cs="Times New Roman"/>
          <w:sz w:val="40"/>
          <w:szCs w:val="40"/>
        </w:rPr>
        <w:t>a p</w:t>
      </w:r>
      <w:r w:rsidR="00AC0864" w:rsidRPr="008C1188">
        <w:rPr>
          <w:rFonts w:ascii="Times New Roman" w:hAnsi="Times New Roman" w:cs="Times New Roman"/>
          <w:sz w:val="40"/>
          <w:szCs w:val="40"/>
        </w:rPr>
        <w:t xml:space="preserve">ianificazione triennale dei lavori pubblici. </w:t>
      </w:r>
    </w:p>
    <w:p w14:paraId="01190C33" w14:textId="77777777" w:rsidR="0074649D" w:rsidRPr="0091181A" w:rsidRDefault="0074649D" w:rsidP="008C1188">
      <w:pPr>
        <w:pStyle w:val="Paragrafoelenco"/>
        <w:spacing w:after="0" w:line="288" w:lineRule="auto"/>
        <w:jc w:val="both"/>
        <w:rPr>
          <w:rFonts w:ascii="Times New Roman" w:hAnsi="Times New Roman" w:cs="Times New Roman"/>
          <w:sz w:val="28"/>
          <w:szCs w:val="28"/>
          <w:highlight w:val="yellow"/>
        </w:rPr>
      </w:pPr>
    </w:p>
    <w:p w14:paraId="20891A6D" w14:textId="0C576124" w:rsidR="00A66B66" w:rsidRPr="008C1188" w:rsidRDefault="00A66B66" w:rsidP="008C1188">
      <w:pPr>
        <w:pStyle w:val="Paragrafoelenco"/>
        <w:spacing w:after="0" w:line="288" w:lineRule="auto"/>
        <w:jc w:val="center"/>
        <w:rPr>
          <w:rFonts w:ascii="Times New Roman" w:hAnsi="Times New Roman" w:cs="Times New Roman"/>
          <w:sz w:val="40"/>
          <w:szCs w:val="40"/>
        </w:rPr>
      </w:pPr>
      <w:r w:rsidRPr="008C1188">
        <w:rPr>
          <w:rFonts w:ascii="Times New Roman" w:hAnsi="Times New Roman" w:cs="Times New Roman"/>
          <w:sz w:val="40"/>
          <w:szCs w:val="40"/>
        </w:rPr>
        <w:t>***</w:t>
      </w:r>
    </w:p>
    <w:p w14:paraId="62D159AF" w14:textId="77777777" w:rsidR="007C4B58" w:rsidRPr="0091181A" w:rsidRDefault="007C4B58" w:rsidP="008C1188">
      <w:pPr>
        <w:pStyle w:val="Paragrafoelenco"/>
        <w:spacing w:after="0" w:line="288" w:lineRule="auto"/>
        <w:jc w:val="center"/>
        <w:rPr>
          <w:rFonts w:ascii="Times New Roman" w:hAnsi="Times New Roman" w:cs="Times New Roman"/>
          <w:sz w:val="18"/>
          <w:szCs w:val="18"/>
          <w:highlight w:val="yellow"/>
        </w:rPr>
      </w:pPr>
    </w:p>
    <w:p w14:paraId="12FDEC92" w14:textId="17CC7E09" w:rsidR="00161005" w:rsidRPr="008C1188" w:rsidRDefault="00E270E1" w:rsidP="008C1188">
      <w:pPr>
        <w:spacing w:after="0" w:line="288" w:lineRule="auto"/>
        <w:contextualSpacing/>
        <w:jc w:val="both"/>
        <w:rPr>
          <w:rFonts w:ascii="Times New Roman" w:eastAsia="Calibri" w:hAnsi="Times New Roman" w:cs="Times New Roman"/>
          <w:sz w:val="40"/>
          <w:szCs w:val="40"/>
          <w:highlight w:val="yellow"/>
        </w:rPr>
      </w:pPr>
      <w:r w:rsidRPr="008C1188">
        <w:rPr>
          <w:rFonts w:ascii="Times New Roman" w:eastAsia="Calibri" w:hAnsi="Times New Roman" w:cs="Times New Roman"/>
          <w:sz w:val="40"/>
          <w:szCs w:val="40"/>
        </w:rPr>
        <w:t>Nell’addivenire ad un’analisi puntuale del documento, emerge come il tema centrale sul quale si intende incentrare l’azione d</w:t>
      </w:r>
      <w:r w:rsidR="007C4BE0" w:rsidRPr="008C1188">
        <w:rPr>
          <w:rFonts w:ascii="Times New Roman" w:eastAsia="Calibri" w:hAnsi="Times New Roman" w:cs="Times New Roman"/>
          <w:sz w:val="40"/>
          <w:szCs w:val="40"/>
        </w:rPr>
        <w:t>el governo è r</w:t>
      </w:r>
      <w:r w:rsidR="00144712" w:rsidRPr="008C1188">
        <w:rPr>
          <w:rFonts w:ascii="Times New Roman" w:eastAsia="Calibri" w:hAnsi="Times New Roman" w:cs="Times New Roman"/>
          <w:sz w:val="40"/>
          <w:szCs w:val="40"/>
        </w:rPr>
        <w:t xml:space="preserve">appresentato dalla </w:t>
      </w:r>
      <w:r w:rsidR="008C25C8" w:rsidRPr="008C1188">
        <w:rPr>
          <w:rFonts w:ascii="Times New Roman" w:eastAsia="Calibri" w:hAnsi="Times New Roman" w:cs="Times New Roman"/>
          <w:b/>
          <w:bCs/>
          <w:sz w:val="40"/>
          <w:szCs w:val="40"/>
        </w:rPr>
        <w:t>sostenibilità a medio e lungo termine</w:t>
      </w:r>
      <w:r w:rsidR="00A66B66" w:rsidRPr="008C1188">
        <w:rPr>
          <w:rFonts w:ascii="Times New Roman" w:eastAsia="Calibri" w:hAnsi="Times New Roman" w:cs="Times New Roman"/>
          <w:sz w:val="40"/>
          <w:szCs w:val="40"/>
        </w:rPr>
        <w:t>, intesa</w:t>
      </w:r>
      <w:r w:rsidR="008C25C8" w:rsidRPr="008C1188">
        <w:rPr>
          <w:rFonts w:ascii="Times New Roman" w:eastAsia="Calibri" w:hAnsi="Times New Roman" w:cs="Times New Roman"/>
          <w:sz w:val="40"/>
          <w:szCs w:val="40"/>
        </w:rPr>
        <w:t xml:space="preserve"> in tutte le sue </w:t>
      </w:r>
      <w:r w:rsidR="00A66B66" w:rsidRPr="008C1188">
        <w:rPr>
          <w:rFonts w:ascii="Times New Roman" w:eastAsia="Calibri" w:hAnsi="Times New Roman" w:cs="Times New Roman"/>
          <w:sz w:val="40"/>
          <w:szCs w:val="40"/>
        </w:rPr>
        <w:t xml:space="preserve">possibili </w:t>
      </w:r>
      <w:r w:rsidR="008C25C8" w:rsidRPr="008C1188">
        <w:rPr>
          <w:rFonts w:ascii="Times New Roman" w:eastAsia="Calibri" w:hAnsi="Times New Roman" w:cs="Times New Roman"/>
          <w:sz w:val="40"/>
          <w:szCs w:val="40"/>
        </w:rPr>
        <w:t xml:space="preserve">declinazioni </w:t>
      </w:r>
      <w:r w:rsidR="00A66B66" w:rsidRPr="008C1188">
        <w:rPr>
          <w:rFonts w:ascii="Times New Roman" w:eastAsia="Calibri" w:hAnsi="Times New Roman" w:cs="Times New Roman"/>
          <w:sz w:val="40"/>
          <w:szCs w:val="40"/>
        </w:rPr>
        <w:t>e concretizzata negli obiettivi specifici di settore</w:t>
      </w:r>
      <w:r w:rsidR="00161005" w:rsidRPr="008C1188">
        <w:rPr>
          <w:rFonts w:ascii="Times New Roman" w:eastAsia="Calibri" w:hAnsi="Times New Roman" w:cs="Times New Roman"/>
          <w:sz w:val="40"/>
          <w:szCs w:val="40"/>
        </w:rPr>
        <w:t>:</w:t>
      </w:r>
    </w:p>
    <w:p w14:paraId="4F2670BC" w14:textId="093CAFC0" w:rsidR="00161005" w:rsidRPr="0091181A" w:rsidRDefault="00A66B66" w:rsidP="0091181A">
      <w:pPr>
        <w:pStyle w:val="Paragrafoelenco"/>
        <w:numPr>
          <w:ilvl w:val="0"/>
          <w:numId w:val="20"/>
        </w:numPr>
        <w:spacing w:after="0" w:line="288" w:lineRule="auto"/>
        <w:jc w:val="both"/>
        <w:rPr>
          <w:rFonts w:ascii="Times New Roman" w:eastAsia="Calibri" w:hAnsi="Times New Roman" w:cs="Times New Roman"/>
          <w:sz w:val="40"/>
          <w:szCs w:val="40"/>
        </w:rPr>
      </w:pPr>
      <w:r w:rsidRPr="0091181A">
        <w:rPr>
          <w:rFonts w:ascii="Times New Roman" w:eastAsia="Calibri" w:hAnsi="Times New Roman" w:cs="Times New Roman"/>
          <w:sz w:val="40"/>
          <w:szCs w:val="40"/>
        </w:rPr>
        <w:t>la sicurezza</w:t>
      </w:r>
      <w:r w:rsidR="00263E67" w:rsidRPr="0091181A">
        <w:rPr>
          <w:rFonts w:ascii="Times New Roman" w:eastAsia="Calibri" w:hAnsi="Times New Roman" w:cs="Times New Roman"/>
          <w:sz w:val="40"/>
          <w:szCs w:val="40"/>
        </w:rPr>
        <w:t>, la manutenzione</w:t>
      </w:r>
      <w:r w:rsidRPr="0091181A">
        <w:rPr>
          <w:rFonts w:ascii="Times New Roman" w:eastAsia="Calibri" w:hAnsi="Times New Roman" w:cs="Times New Roman"/>
          <w:sz w:val="40"/>
          <w:szCs w:val="40"/>
        </w:rPr>
        <w:t xml:space="preserve"> ed il presidio del territorio</w:t>
      </w:r>
      <w:r w:rsidR="00161005" w:rsidRPr="0091181A">
        <w:rPr>
          <w:rFonts w:ascii="Times New Roman" w:eastAsia="Calibri" w:hAnsi="Times New Roman" w:cs="Times New Roman"/>
          <w:sz w:val="40"/>
          <w:szCs w:val="40"/>
        </w:rPr>
        <w:t>;</w:t>
      </w:r>
    </w:p>
    <w:p w14:paraId="0E9D8FDB" w14:textId="27A10B64" w:rsidR="00161005" w:rsidRPr="0091181A" w:rsidRDefault="00A66B66" w:rsidP="0091181A">
      <w:pPr>
        <w:pStyle w:val="Paragrafoelenco"/>
        <w:numPr>
          <w:ilvl w:val="0"/>
          <w:numId w:val="20"/>
        </w:numPr>
        <w:spacing w:after="0" w:line="288" w:lineRule="auto"/>
        <w:jc w:val="both"/>
        <w:rPr>
          <w:rFonts w:ascii="Times New Roman" w:eastAsia="Calibri" w:hAnsi="Times New Roman" w:cs="Times New Roman"/>
          <w:sz w:val="40"/>
          <w:szCs w:val="40"/>
        </w:rPr>
      </w:pPr>
      <w:r w:rsidRPr="0091181A">
        <w:rPr>
          <w:rFonts w:ascii="Times New Roman" w:eastAsia="Calibri" w:hAnsi="Times New Roman" w:cs="Times New Roman"/>
          <w:sz w:val="40"/>
          <w:szCs w:val="40"/>
        </w:rPr>
        <w:t>lo sviluppo economico</w:t>
      </w:r>
      <w:r w:rsidR="00161005" w:rsidRPr="0091181A">
        <w:rPr>
          <w:rFonts w:ascii="Times New Roman" w:eastAsia="Calibri" w:hAnsi="Times New Roman" w:cs="Times New Roman"/>
          <w:sz w:val="40"/>
          <w:szCs w:val="40"/>
        </w:rPr>
        <w:t xml:space="preserve"> ed energetico;</w:t>
      </w:r>
    </w:p>
    <w:p w14:paraId="2AFAE564" w14:textId="6F9A024E" w:rsidR="00161005" w:rsidRPr="0091181A" w:rsidRDefault="008C25C8" w:rsidP="0091181A">
      <w:pPr>
        <w:pStyle w:val="Paragrafoelenco"/>
        <w:numPr>
          <w:ilvl w:val="0"/>
          <w:numId w:val="20"/>
        </w:numPr>
        <w:spacing w:after="0" w:line="288" w:lineRule="auto"/>
        <w:jc w:val="both"/>
        <w:rPr>
          <w:rFonts w:ascii="Times New Roman" w:eastAsia="Calibri" w:hAnsi="Times New Roman" w:cs="Times New Roman"/>
          <w:sz w:val="40"/>
          <w:szCs w:val="40"/>
        </w:rPr>
      </w:pPr>
      <w:r w:rsidRPr="0091181A">
        <w:rPr>
          <w:rFonts w:ascii="Times New Roman" w:eastAsia="Calibri" w:hAnsi="Times New Roman" w:cs="Times New Roman"/>
          <w:sz w:val="40"/>
          <w:szCs w:val="40"/>
        </w:rPr>
        <w:t>la dignità del lavoro</w:t>
      </w:r>
      <w:r w:rsidR="00161005" w:rsidRPr="0091181A">
        <w:rPr>
          <w:rFonts w:ascii="Times New Roman" w:eastAsia="Calibri" w:hAnsi="Times New Roman" w:cs="Times New Roman"/>
          <w:sz w:val="40"/>
          <w:szCs w:val="40"/>
        </w:rPr>
        <w:t>;</w:t>
      </w:r>
    </w:p>
    <w:p w14:paraId="536BC8D2" w14:textId="09FF05A4" w:rsidR="00263E67" w:rsidRDefault="008C25C8" w:rsidP="0091181A">
      <w:pPr>
        <w:pStyle w:val="Paragrafoelenco"/>
        <w:numPr>
          <w:ilvl w:val="0"/>
          <w:numId w:val="20"/>
        </w:numPr>
        <w:spacing w:after="0" w:line="288" w:lineRule="auto"/>
        <w:jc w:val="both"/>
        <w:rPr>
          <w:rFonts w:ascii="Times New Roman" w:eastAsia="Calibri" w:hAnsi="Times New Roman" w:cs="Times New Roman"/>
          <w:sz w:val="40"/>
          <w:szCs w:val="40"/>
        </w:rPr>
      </w:pPr>
      <w:r w:rsidRPr="0091181A">
        <w:rPr>
          <w:rFonts w:ascii="Times New Roman" w:eastAsia="Calibri" w:hAnsi="Times New Roman" w:cs="Times New Roman"/>
          <w:sz w:val="40"/>
          <w:szCs w:val="40"/>
        </w:rPr>
        <w:t xml:space="preserve">l’attenzione al sociale ed al volontariato, </w:t>
      </w:r>
      <w:r w:rsidR="00A66B66" w:rsidRPr="0091181A">
        <w:rPr>
          <w:rFonts w:ascii="Times New Roman" w:eastAsia="Calibri" w:hAnsi="Times New Roman" w:cs="Times New Roman"/>
          <w:sz w:val="40"/>
          <w:szCs w:val="40"/>
        </w:rPr>
        <w:t>i servizi alla persona</w:t>
      </w:r>
      <w:r w:rsidR="0091181A">
        <w:rPr>
          <w:rFonts w:ascii="Times New Roman" w:eastAsia="Calibri" w:hAnsi="Times New Roman" w:cs="Times New Roman"/>
          <w:sz w:val="40"/>
          <w:szCs w:val="40"/>
        </w:rPr>
        <w:t>.</w:t>
      </w:r>
    </w:p>
    <w:p w14:paraId="17882505" w14:textId="4B29177D" w:rsidR="0091181A" w:rsidRDefault="0091181A" w:rsidP="0091181A">
      <w:pPr>
        <w:pStyle w:val="Paragrafoelenco"/>
        <w:spacing w:after="0" w:line="288" w:lineRule="auto"/>
        <w:jc w:val="both"/>
        <w:rPr>
          <w:rFonts w:ascii="Times New Roman" w:eastAsia="Calibri" w:hAnsi="Times New Roman" w:cs="Times New Roman"/>
          <w:sz w:val="24"/>
          <w:szCs w:val="24"/>
        </w:rPr>
      </w:pPr>
    </w:p>
    <w:p w14:paraId="0276F81F" w14:textId="77777777" w:rsidR="0091181A" w:rsidRPr="0091181A" w:rsidRDefault="0091181A" w:rsidP="0091181A">
      <w:pPr>
        <w:jc w:val="center"/>
      </w:pPr>
    </w:p>
    <w:p w14:paraId="766A6AFA" w14:textId="77777777" w:rsidR="00B84A47" w:rsidRPr="008C1188" w:rsidRDefault="009B28C0" w:rsidP="008C1188">
      <w:pPr>
        <w:spacing w:after="0" w:line="288" w:lineRule="auto"/>
        <w:contextualSpacing/>
        <w:jc w:val="both"/>
        <w:rPr>
          <w:rFonts w:ascii="Times New Roman" w:hAnsi="Times New Roman" w:cs="Times New Roman"/>
          <w:sz w:val="40"/>
          <w:szCs w:val="40"/>
        </w:rPr>
      </w:pPr>
      <w:r w:rsidRPr="008C1188">
        <w:rPr>
          <w:rFonts w:ascii="Times New Roman" w:eastAsia="Calibri" w:hAnsi="Times New Roman" w:cs="Times New Roman"/>
          <w:sz w:val="40"/>
          <w:szCs w:val="40"/>
        </w:rPr>
        <w:t>I</w:t>
      </w:r>
      <w:r w:rsidR="008C25C8" w:rsidRPr="008C1188">
        <w:rPr>
          <w:rFonts w:ascii="Times New Roman" w:eastAsia="Calibri" w:hAnsi="Times New Roman" w:cs="Times New Roman"/>
          <w:sz w:val="40"/>
          <w:szCs w:val="40"/>
        </w:rPr>
        <w:t xml:space="preserve"> puntuali obiettivi </w:t>
      </w:r>
      <w:r w:rsidRPr="008C1188">
        <w:rPr>
          <w:rFonts w:ascii="Times New Roman" w:eastAsia="Calibri" w:hAnsi="Times New Roman" w:cs="Times New Roman"/>
          <w:sz w:val="40"/>
          <w:szCs w:val="40"/>
        </w:rPr>
        <w:t xml:space="preserve">delineati </w:t>
      </w:r>
      <w:r w:rsidR="00F120FF" w:rsidRPr="008C1188">
        <w:rPr>
          <w:rFonts w:ascii="Times New Roman" w:eastAsia="Calibri" w:hAnsi="Times New Roman" w:cs="Times New Roman"/>
          <w:sz w:val="40"/>
          <w:szCs w:val="40"/>
        </w:rPr>
        <w:t>nelle schede contenute nel documento</w:t>
      </w:r>
      <w:r w:rsidRPr="008C1188">
        <w:rPr>
          <w:rFonts w:ascii="Times New Roman" w:eastAsia="Calibri" w:hAnsi="Times New Roman" w:cs="Times New Roman"/>
          <w:sz w:val="40"/>
          <w:szCs w:val="40"/>
        </w:rPr>
        <w:t>, evidenziano come</w:t>
      </w:r>
      <w:r w:rsidR="00B84A47" w:rsidRPr="008C1188">
        <w:rPr>
          <w:rFonts w:ascii="Times New Roman" w:eastAsia="Calibri" w:hAnsi="Times New Roman" w:cs="Times New Roman"/>
          <w:sz w:val="40"/>
          <w:szCs w:val="40"/>
        </w:rPr>
        <w:t xml:space="preserve"> il</w:t>
      </w:r>
      <w:r w:rsidR="00B84A47" w:rsidRPr="008C1188">
        <w:rPr>
          <w:rFonts w:ascii="Times New Roman" w:eastAsia="Calibri" w:hAnsi="Times New Roman" w:cs="Times New Roman"/>
          <w:b/>
          <w:bCs/>
          <w:sz w:val="40"/>
          <w:szCs w:val="40"/>
        </w:rPr>
        <w:t xml:space="preserve"> </w:t>
      </w:r>
      <w:r w:rsidR="00B84A47" w:rsidRPr="008C1188">
        <w:rPr>
          <w:rFonts w:ascii="Times New Roman" w:hAnsi="Times New Roman" w:cs="Times New Roman"/>
          <w:sz w:val="40"/>
          <w:szCs w:val="40"/>
        </w:rPr>
        <w:t>tema della sostenibilità</w:t>
      </w:r>
      <w:r w:rsidR="00EC6ACA" w:rsidRPr="008C1188">
        <w:rPr>
          <w:rFonts w:ascii="Times New Roman" w:hAnsi="Times New Roman" w:cs="Times New Roman"/>
          <w:sz w:val="40"/>
          <w:szCs w:val="40"/>
        </w:rPr>
        <w:t>,</w:t>
      </w:r>
      <w:r w:rsidR="00B84A47" w:rsidRPr="008C1188">
        <w:rPr>
          <w:rFonts w:ascii="Times New Roman" w:hAnsi="Times New Roman" w:cs="Times New Roman"/>
          <w:sz w:val="40"/>
          <w:szCs w:val="40"/>
        </w:rPr>
        <w:t xml:space="preserve"> a medio e lungo termine</w:t>
      </w:r>
      <w:r w:rsidR="00EC6ACA" w:rsidRPr="008C1188">
        <w:rPr>
          <w:rFonts w:ascii="Times New Roman" w:hAnsi="Times New Roman" w:cs="Times New Roman"/>
          <w:sz w:val="40"/>
          <w:szCs w:val="40"/>
        </w:rPr>
        <w:t>,</w:t>
      </w:r>
      <w:r w:rsidR="00B84A47" w:rsidRPr="008C1188">
        <w:rPr>
          <w:rFonts w:ascii="Times New Roman" w:hAnsi="Times New Roman" w:cs="Times New Roman"/>
          <w:sz w:val="40"/>
          <w:szCs w:val="40"/>
        </w:rPr>
        <w:t xml:space="preserve"> </w:t>
      </w:r>
      <w:r w:rsidRPr="008C1188">
        <w:rPr>
          <w:rFonts w:ascii="Times New Roman" w:hAnsi="Times New Roman" w:cs="Times New Roman"/>
          <w:sz w:val="40"/>
          <w:szCs w:val="40"/>
        </w:rPr>
        <w:t>sia</w:t>
      </w:r>
      <w:r w:rsidR="00B84A47" w:rsidRPr="008C1188">
        <w:rPr>
          <w:rFonts w:ascii="Times New Roman" w:hAnsi="Times New Roman" w:cs="Times New Roman"/>
          <w:sz w:val="40"/>
          <w:szCs w:val="40"/>
        </w:rPr>
        <w:t xml:space="preserve"> particolarmente rilevante e risult</w:t>
      </w:r>
      <w:r w:rsidR="00EC6ACA" w:rsidRPr="008C1188">
        <w:rPr>
          <w:rFonts w:ascii="Times New Roman" w:hAnsi="Times New Roman" w:cs="Times New Roman"/>
          <w:sz w:val="40"/>
          <w:szCs w:val="40"/>
        </w:rPr>
        <w:t>i</w:t>
      </w:r>
      <w:r w:rsidR="00B84A47" w:rsidRPr="008C1188">
        <w:rPr>
          <w:rFonts w:ascii="Times New Roman" w:hAnsi="Times New Roman" w:cs="Times New Roman"/>
          <w:sz w:val="40"/>
          <w:szCs w:val="40"/>
        </w:rPr>
        <w:t xml:space="preserve"> </w:t>
      </w:r>
      <w:r w:rsidR="00B84A47" w:rsidRPr="008C1188">
        <w:rPr>
          <w:rFonts w:ascii="Times New Roman" w:hAnsi="Times New Roman" w:cs="Times New Roman"/>
          <w:sz w:val="40"/>
          <w:szCs w:val="40"/>
        </w:rPr>
        <w:lastRenderedPageBreak/>
        <w:t xml:space="preserve">essere trasversale a tutti i settori </w:t>
      </w:r>
      <w:r w:rsidRPr="008C1188">
        <w:rPr>
          <w:rFonts w:ascii="Times New Roman" w:hAnsi="Times New Roman" w:cs="Times New Roman"/>
          <w:sz w:val="40"/>
          <w:szCs w:val="40"/>
        </w:rPr>
        <w:t>e tra</w:t>
      </w:r>
      <w:r w:rsidR="003E67C2" w:rsidRPr="008C1188">
        <w:rPr>
          <w:rFonts w:ascii="Times New Roman" w:hAnsi="Times New Roman" w:cs="Times New Roman"/>
          <w:sz w:val="40"/>
          <w:szCs w:val="40"/>
        </w:rPr>
        <w:t xml:space="preserve"> le attività di competenza dei diversi Assessorati.</w:t>
      </w:r>
    </w:p>
    <w:p w14:paraId="3A4FEC4D" w14:textId="77777777" w:rsidR="009B28C0" w:rsidRPr="008C1188" w:rsidRDefault="009B28C0" w:rsidP="008C1188">
      <w:pPr>
        <w:spacing w:after="0" w:line="288" w:lineRule="auto"/>
        <w:contextualSpacing/>
        <w:jc w:val="both"/>
        <w:rPr>
          <w:rFonts w:ascii="Times New Roman" w:hAnsi="Times New Roman" w:cs="Times New Roman"/>
          <w:sz w:val="40"/>
          <w:szCs w:val="40"/>
        </w:rPr>
      </w:pPr>
    </w:p>
    <w:p w14:paraId="077954F4" w14:textId="77777777" w:rsidR="0091181A" w:rsidRDefault="001B78B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A valle della recente alluvione, che ha gravemente colpito il territorio, le maggiori iniziative saranno concentrate al ripristino delle infrastrutture, alla loro messa in sicurezza e ai bisogni della collettività creati dall’evento alluvionale. </w:t>
      </w:r>
    </w:p>
    <w:p w14:paraId="6B8F1EF6" w14:textId="77777777" w:rsidR="0091181A" w:rsidRDefault="0091181A" w:rsidP="008C1188">
      <w:pPr>
        <w:spacing w:after="0" w:line="288" w:lineRule="auto"/>
        <w:contextualSpacing/>
        <w:jc w:val="both"/>
        <w:rPr>
          <w:rFonts w:ascii="Times New Roman" w:hAnsi="Times New Roman" w:cs="Times New Roman"/>
          <w:sz w:val="40"/>
          <w:szCs w:val="40"/>
        </w:rPr>
      </w:pPr>
    </w:p>
    <w:p w14:paraId="211694D4" w14:textId="54BCD6F4" w:rsidR="001B78BB" w:rsidRPr="008C1188" w:rsidRDefault="001B78B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L’evento conferma gli indirizzi assunti e funge da sprone a fare di più nella medesima direzione rafforzando:</w:t>
      </w:r>
    </w:p>
    <w:p w14:paraId="7A58555D" w14:textId="72588233" w:rsidR="001B78BB" w:rsidRPr="008C1188" w:rsidRDefault="00ED5ABF" w:rsidP="0091181A">
      <w:pPr>
        <w:pStyle w:val="Paragrafoelenco"/>
        <w:numPr>
          <w:ilvl w:val="0"/>
          <w:numId w:val="21"/>
        </w:numPr>
        <w:spacing w:after="0" w:line="288" w:lineRule="auto"/>
        <w:jc w:val="both"/>
        <w:rPr>
          <w:rFonts w:ascii="Times New Roman" w:hAnsi="Times New Roman" w:cs="Times New Roman"/>
          <w:sz w:val="40"/>
          <w:szCs w:val="40"/>
        </w:rPr>
      </w:pPr>
      <w:r w:rsidRPr="008C1188">
        <w:rPr>
          <w:rFonts w:ascii="Times New Roman" w:hAnsi="Times New Roman" w:cs="Times New Roman"/>
          <w:sz w:val="40"/>
          <w:szCs w:val="40"/>
        </w:rPr>
        <w:t xml:space="preserve">da un lato, </w:t>
      </w:r>
      <w:r w:rsidR="001B78BB" w:rsidRPr="008C1188">
        <w:rPr>
          <w:rFonts w:ascii="Times New Roman" w:hAnsi="Times New Roman" w:cs="Times New Roman"/>
          <w:sz w:val="40"/>
          <w:szCs w:val="40"/>
        </w:rPr>
        <w:t>le strutture di presidio del territorio sia pubbliche (Protezione civile, Corpo Forestale Valdostano, Corpo Valdostano dei Vigili del Fuoco e Soccorso Alpino Valdostano), sia private (agricoltori e professioni della montagna);</w:t>
      </w:r>
    </w:p>
    <w:p w14:paraId="120308BB" w14:textId="7B91ABDC" w:rsidR="001B78BB" w:rsidRPr="008C1188" w:rsidRDefault="00ED5ABF" w:rsidP="0091181A">
      <w:pPr>
        <w:pStyle w:val="Paragrafoelenco"/>
        <w:numPr>
          <w:ilvl w:val="0"/>
          <w:numId w:val="21"/>
        </w:numPr>
        <w:spacing w:after="0" w:line="288" w:lineRule="auto"/>
        <w:jc w:val="both"/>
        <w:rPr>
          <w:rFonts w:ascii="Times New Roman" w:hAnsi="Times New Roman" w:cs="Times New Roman"/>
          <w:sz w:val="40"/>
          <w:szCs w:val="40"/>
        </w:rPr>
      </w:pPr>
      <w:r w:rsidRPr="008C1188">
        <w:rPr>
          <w:rFonts w:ascii="Times New Roman" w:hAnsi="Times New Roman" w:cs="Times New Roman"/>
          <w:sz w:val="40"/>
          <w:szCs w:val="40"/>
        </w:rPr>
        <w:t xml:space="preserve">dall’altro, </w:t>
      </w:r>
      <w:r w:rsidR="001B78BB" w:rsidRPr="008C1188">
        <w:rPr>
          <w:rFonts w:ascii="Times New Roman" w:hAnsi="Times New Roman" w:cs="Times New Roman"/>
          <w:sz w:val="40"/>
          <w:szCs w:val="40"/>
        </w:rPr>
        <w:t>le iniziative volte a contrastare, arginare e mitigare i dissesti idrogeologici, provvedendo alla messa in sicurezza dei versanti e delle valli laterali e a garantire la massima sicurezza possibile sul nostro territorio.</w:t>
      </w:r>
    </w:p>
    <w:p w14:paraId="5D900BD9" w14:textId="7A237E30" w:rsidR="001B78BB" w:rsidRPr="008C1188" w:rsidRDefault="001B78BB" w:rsidP="008C1188">
      <w:pPr>
        <w:spacing w:after="0" w:line="288" w:lineRule="auto"/>
        <w:contextualSpacing/>
        <w:jc w:val="both"/>
        <w:rPr>
          <w:rFonts w:ascii="Times New Roman" w:hAnsi="Times New Roman" w:cs="Times New Roman"/>
          <w:sz w:val="40"/>
          <w:szCs w:val="40"/>
        </w:rPr>
      </w:pPr>
    </w:p>
    <w:p w14:paraId="1BA449DC" w14:textId="6CA3B8C7" w:rsidR="00ED5ABF" w:rsidRDefault="001B78B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Allo stesso modo, le azioni finalizzate alla manutenzione del territorio - per la loro indubbia trasversalità nell’ambito economico, turistico e di sicurezza - dovranno essere attivate anche attraverso un adeguato sostegno al mondo agricolo. Le stesse opere viarie di collegamento, con le dovute attenzioni alla sostenibilità ambientale e con il corretto approccio </w:t>
      </w:r>
      <w:r w:rsidRPr="008C1188">
        <w:rPr>
          <w:rFonts w:ascii="Times New Roman" w:hAnsi="Times New Roman" w:cs="Times New Roman"/>
          <w:sz w:val="40"/>
          <w:szCs w:val="40"/>
        </w:rPr>
        <w:lastRenderedPageBreak/>
        <w:t>tecnico-giuridico, dovranno essere valutate in un’ottica trasversale e promiscua di sviluppo economico, di collegamento turistico, di prevenzione e protezione civile, così come gli impianti di risalita dovranno essere realizzati con il medesimo obiettivo in un’ottica virtuosa di presidio del territorio, di messa in sicurezza e di sviluppo e adattabilità dello stesso.</w:t>
      </w:r>
      <w:r w:rsidR="00EC6ACA" w:rsidRPr="008C1188">
        <w:rPr>
          <w:rFonts w:ascii="Times New Roman" w:hAnsi="Times New Roman" w:cs="Times New Roman"/>
          <w:sz w:val="40"/>
          <w:szCs w:val="40"/>
        </w:rPr>
        <w:t xml:space="preserve"> </w:t>
      </w:r>
    </w:p>
    <w:p w14:paraId="5FF49C68"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36DDABE4" w14:textId="46213432" w:rsidR="00ED5ABF" w:rsidRDefault="00EC6ACA"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U</w:t>
      </w:r>
      <w:r w:rsidR="001B78BB" w:rsidRPr="008C1188">
        <w:rPr>
          <w:rFonts w:ascii="Times New Roman" w:hAnsi="Times New Roman" w:cs="Times New Roman"/>
          <w:sz w:val="40"/>
          <w:szCs w:val="40"/>
        </w:rPr>
        <w:t>na profonda riflessione</w:t>
      </w:r>
      <w:r w:rsidR="00417595" w:rsidRPr="008C1188">
        <w:rPr>
          <w:rFonts w:ascii="Times New Roman" w:hAnsi="Times New Roman" w:cs="Times New Roman"/>
          <w:sz w:val="40"/>
          <w:szCs w:val="40"/>
        </w:rPr>
        <w:t>, sempre nell’ottica della sostenibilità,</w:t>
      </w:r>
      <w:r w:rsidR="001B78BB" w:rsidRPr="008C1188">
        <w:rPr>
          <w:rFonts w:ascii="Times New Roman" w:hAnsi="Times New Roman" w:cs="Times New Roman"/>
          <w:sz w:val="40"/>
          <w:szCs w:val="40"/>
        </w:rPr>
        <w:t xml:space="preserve"> </w:t>
      </w:r>
      <w:r w:rsidRPr="008C1188">
        <w:rPr>
          <w:rFonts w:ascii="Times New Roman" w:hAnsi="Times New Roman" w:cs="Times New Roman"/>
          <w:sz w:val="40"/>
          <w:szCs w:val="40"/>
        </w:rPr>
        <w:t>sarà inoltre necessaria</w:t>
      </w:r>
      <w:r w:rsidR="001B78BB" w:rsidRPr="008C1188">
        <w:rPr>
          <w:rFonts w:ascii="Times New Roman" w:hAnsi="Times New Roman" w:cs="Times New Roman"/>
          <w:sz w:val="40"/>
          <w:szCs w:val="40"/>
        </w:rPr>
        <w:t xml:space="preserve"> al fine di porre concrete basi per delineare una politica relativa alle vie di comunicazione</w:t>
      </w:r>
      <w:r w:rsidRPr="008C1188">
        <w:rPr>
          <w:rFonts w:ascii="Times New Roman" w:hAnsi="Times New Roman" w:cs="Times New Roman"/>
          <w:sz w:val="40"/>
          <w:szCs w:val="40"/>
        </w:rPr>
        <w:t xml:space="preserve">, </w:t>
      </w:r>
      <w:r w:rsidR="001B78BB" w:rsidRPr="008C1188">
        <w:rPr>
          <w:rFonts w:ascii="Times New Roman" w:hAnsi="Times New Roman" w:cs="Times New Roman"/>
          <w:sz w:val="40"/>
          <w:szCs w:val="40"/>
        </w:rPr>
        <w:t>tanto interne quanto transfrontaliere</w:t>
      </w:r>
      <w:r w:rsidRPr="008C1188">
        <w:rPr>
          <w:rFonts w:ascii="Times New Roman" w:hAnsi="Times New Roman" w:cs="Times New Roman"/>
          <w:sz w:val="40"/>
          <w:szCs w:val="40"/>
        </w:rPr>
        <w:t>,</w:t>
      </w:r>
      <w:r w:rsidR="001B78BB" w:rsidRPr="008C1188">
        <w:rPr>
          <w:rFonts w:ascii="Times New Roman" w:hAnsi="Times New Roman" w:cs="Times New Roman"/>
          <w:sz w:val="40"/>
          <w:szCs w:val="40"/>
        </w:rPr>
        <w:t xml:space="preserve"> caratterizzata dall’obiettivo primario della garanzia della sicurezza della circolazione, ma anche alla definizione di condizioni che consentano una programmabilità di interventi e prospettive future di sviluppo. </w:t>
      </w:r>
    </w:p>
    <w:p w14:paraId="043AC038"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51080BF9" w14:textId="5CECDC8A" w:rsidR="001B78BB" w:rsidRDefault="001B78B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A tal proposito, continuano a rivestire particolare importanza il prolungamento dalla concessione di esercizio del Tunnel del Gran San Bernardo e la realizzazione degli indispensabili lavori di ammodernamento dello stesso, così come l’improrogabile valutazione in merito a un potenziamento dell’infrastruttura del Tunnel del Monte Bianco, con la seria presa in carico della realizzazione di una seconda canna, nell’ambito di un continuo </w:t>
      </w:r>
      <w:r w:rsidR="00EC6ACA" w:rsidRPr="008C1188">
        <w:rPr>
          <w:rFonts w:ascii="Times New Roman" w:hAnsi="Times New Roman" w:cs="Times New Roman"/>
          <w:sz w:val="40"/>
          <w:szCs w:val="40"/>
        </w:rPr>
        <w:t>dialogo e</w:t>
      </w:r>
      <w:r w:rsidRPr="008C1188">
        <w:rPr>
          <w:rFonts w:ascii="Times New Roman" w:hAnsi="Times New Roman" w:cs="Times New Roman"/>
          <w:sz w:val="40"/>
          <w:szCs w:val="40"/>
        </w:rPr>
        <w:t xml:space="preserve"> confronto </w:t>
      </w:r>
      <w:r w:rsidR="00EC6ACA" w:rsidRPr="008C1188">
        <w:rPr>
          <w:rFonts w:ascii="Times New Roman" w:hAnsi="Times New Roman" w:cs="Times New Roman"/>
          <w:sz w:val="40"/>
          <w:szCs w:val="40"/>
        </w:rPr>
        <w:t>politico-istituzionale a</w:t>
      </w:r>
      <w:r w:rsidRPr="008C1188">
        <w:rPr>
          <w:rFonts w:ascii="Times New Roman" w:hAnsi="Times New Roman" w:cs="Times New Roman"/>
          <w:sz w:val="40"/>
          <w:szCs w:val="40"/>
        </w:rPr>
        <w:t>ttraverso i canali diplomatici</w:t>
      </w:r>
      <w:r w:rsidR="006A4866" w:rsidRPr="008C1188">
        <w:rPr>
          <w:rFonts w:ascii="Times New Roman" w:hAnsi="Times New Roman" w:cs="Times New Roman"/>
          <w:sz w:val="40"/>
          <w:szCs w:val="40"/>
        </w:rPr>
        <w:t>.</w:t>
      </w:r>
    </w:p>
    <w:p w14:paraId="05D57CD1"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281F3E8C" w14:textId="51AF46B1" w:rsidR="007834C3" w:rsidRDefault="007834C3" w:rsidP="007834C3">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Ancora maggiore attenzione sarà dedicata al tema della sicurezza potenziando le iniziative già adottate quali l’elisoccorso notturno e il potenziamento e l’ammodernamento delle infrastrutture a supporto del sistema di protezione civile.</w:t>
      </w:r>
    </w:p>
    <w:p w14:paraId="4C37D93B" w14:textId="77777777" w:rsidR="007834C3" w:rsidRDefault="007834C3" w:rsidP="007834C3">
      <w:pPr>
        <w:spacing w:after="0" w:line="288" w:lineRule="auto"/>
        <w:contextualSpacing/>
        <w:jc w:val="both"/>
        <w:rPr>
          <w:rFonts w:ascii="Times New Roman" w:hAnsi="Times New Roman" w:cs="Times New Roman"/>
          <w:sz w:val="40"/>
          <w:szCs w:val="40"/>
        </w:rPr>
      </w:pPr>
    </w:p>
    <w:p w14:paraId="6820B525" w14:textId="2D15830E" w:rsidR="001B78BB" w:rsidRPr="008C1188" w:rsidRDefault="001B78BB"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Inoltre, prosegue il percorso di valorizzazione dell’Autonomia, agendo a tal fine a diversi livelli</w:t>
      </w:r>
      <w:r w:rsidR="00E722CD" w:rsidRPr="008C1188">
        <w:rPr>
          <w:rFonts w:ascii="Times New Roman" w:hAnsi="Times New Roman" w:cs="Times New Roman"/>
          <w:sz w:val="40"/>
          <w:szCs w:val="40"/>
        </w:rPr>
        <w:t xml:space="preserve">: </w:t>
      </w:r>
      <w:r w:rsidR="00287903" w:rsidRPr="008C1188">
        <w:rPr>
          <w:rFonts w:ascii="Times New Roman" w:hAnsi="Times New Roman" w:cs="Times New Roman"/>
          <w:sz w:val="40"/>
          <w:szCs w:val="40"/>
        </w:rPr>
        <w:t xml:space="preserve">da quello amministrativo, </w:t>
      </w:r>
      <w:r w:rsidRPr="008C1188">
        <w:rPr>
          <w:rFonts w:ascii="Times New Roman" w:hAnsi="Times New Roman" w:cs="Times New Roman"/>
          <w:sz w:val="40"/>
          <w:szCs w:val="40"/>
        </w:rPr>
        <w:t xml:space="preserve"> </w:t>
      </w:r>
      <w:r w:rsidR="009B28C0" w:rsidRPr="008C1188">
        <w:rPr>
          <w:rFonts w:ascii="Times New Roman" w:hAnsi="Times New Roman" w:cs="Times New Roman"/>
          <w:sz w:val="40"/>
          <w:szCs w:val="40"/>
        </w:rPr>
        <w:t xml:space="preserve">con la </w:t>
      </w:r>
      <w:r w:rsidRPr="008C1188">
        <w:rPr>
          <w:rFonts w:ascii="Times New Roman" w:hAnsi="Times New Roman" w:cs="Times New Roman"/>
          <w:sz w:val="40"/>
          <w:szCs w:val="40"/>
        </w:rPr>
        <w:t>riforma dell’Amministrazione regionale delineata dallo studio condotto dalla SDA 7Bocconi - School of management</w:t>
      </w:r>
      <w:r w:rsidR="00287903" w:rsidRPr="008C1188">
        <w:rPr>
          <w:rFonts w:ascii="Times New Roman" w:hAnsi="Times New Roman" w:cs="Times New Roman"/>
          <w:sz w:val="40"/>
          <w:szCs w:val="40"/>
        </w:rPr>
        <w:t xml:space="preserve"> che vedrà l’attuazione di</w:t>
      </w:r>
      <w:r w:rsidRPr="008C1188">
        <w:rPr>
          <w:rFonts w:ascii="Times New Roman" w:hAnsi="Times New Roman" w:cs="Times New Roman"/>
          <w:sz w:val="40"/>
          <w:szCs w:val="40"/>
        </w:rPr>
        <w:t xml:space="preserve"> una serie di azioni complementari</w:t>
      </w:r>
      <w:r w:rsidR="00E722CD" w:rsidRPr="008C1188">
        <w:rPr>
          <w:rFonts w:ascii="Times New Roman" w:hAnsi="Times New Roman" w:cs="Times New Roman"/>
          <w:sz w:val="40"/>
          <w:szCs w:val="40"/>
        </w:rPr>
        <w:t>, a quello regionale, con il rilancio de</w:t>
      </w:r>
      <w:r w:rsidRPr="008C1188">
        <w:rPr>
          <w:rFonts w:ascii="Times New Roman" w:hAnsi="Times New Roman" w:cs="Times New Roman"/>
          <w:sz w:val="40"/>
          <w:szCs w:val="40"/>
        </w:rPr>
        <w:t>l Sistema v</w:t>
      </w:r>
      <w:r w:rsidR="00C91EE6" w:rsidRPr="008C1188">
        <w:rPr>
          <w:rFonts w:ascii="Times New Roman" w:hAnsi="Times New Roman" w:cs="Times New Roman"/>
          <w:sz w:val="40"/>
          <w:szCs w:val="40"/>
        </w:rPr>
        <w:t>a</w:t>
      </w:r>
      <w:r w:rsidRPr="008C1188">
        <w:rPr>
          <w:rFonts w:ascii="Times New Roman" w:hAnsi="Times New Roman" w:cs="Times New Roman"/>
          <w:sz w:val="40"/>
          <w:szCs w:val="40"/>
        </w:rPr>
        <w:t xml:space="preserve">ldostano delle autonomie </w:t>
      </w:r>
      <w:r w:rsidR="00C91EE6" w:rsidRPr="008C1188">
        <w:rPr>
          <w:rFonts w:ascii="Times New Roman" w:hAnsi="Times New Roman" w:cs="Times New Roman"/>
          <w:sz w:val="40"/>
          <w:szCs w:val="40"/>
        </w:rPr>
        <w:t>e il rafforzamento del</w:t>
      </w:r>
      <w:r w:rsidRPr="008C1188">
        <w:rPr>
          <w:rFonts w:ascii="Times New Roman" w:hAnsi="Times New Roman" w:cs="Times New Roman"/>
          <w:sz w:val="40"/>
          <w:szCs w:val="40"/>
        </w:rPr>
        <w:t>la rete di rapporti tra gli enti pubblici valdostani</w:t>
      </w:r>
      <w:r w:rsidR="00C91EE6" w:rsidRPr="008C1188">
        <w:rPr>
          <w:rFonts w:ascii="Times New Roman" w:hAnsi="Times New Roman" w:cs="Times New Roman"/>
          <w:sz w:val="40"/>
          <w:szCs w:val="40"/>
        </w:rPr>
        <w:t xml:space="preserve">, fino al </w:t>
      </w:r>
      <w:r w:rsidRPr="008C1188">
        <w:rPr>
          <w:rFonts w:ascii="Times New Roman" w:hAnsi="Times New Roman" w:cs="Times New Roman"/>
          <w:sz w:val="40"/>
          <w:szCs w:val="40"/>
        </w:rPr>
        <w:t>livello statale ed europeo</w:t>
      </w:r>
      <w:r w:rsidR="00C91EE6" w:rsidRPr="008C1188">
        <w:rPr>
          <w:rFonts w:ascii="Times New Roman" w:hAnsi="Times New Roman" w:cs="Times New Roman"/>
          <w:sz w:val="40"/>
          <w:szCs w:val="40"/>
        </w:rPr>
        <w:t>, cercando</w:t>
      </w:r>
      <w:r w:rsidRPr="008C1188">
        <w:rPr>
          <w:rFonts w:ascii="Times New Roman" w:hAnsi="Times New Roman" w:cs="Times New Roman"/>
          <w:sz w:val="40"/>
          <w:szCs w:val="40"/>
        </w:rPr>
        <w:t xml:space="preserve"> di recuperare la pienezza delle competenze statutarie</w:t>
      </w:r>
      <w:r w:rsidR="00C91EE6" w:rsidRPr="008C1188">
        <w:rPr>
          <w:rFonts w:ascii="Times New Roman" w:hAnsi="Times New Roman" w:cs="Times New Roman"/>
          <w:sz w:val="40"/>
          <w:szCs w:val="40"/>
        </w:rPr>
        <w:t xml:space="preserve"> e </w:t>
      </w:r>
      <w:r w:rsidRPr="008C1188">
        <w:rPr>
          <w:rFonts w:ascii="Times New Roman" w:hAnsi="Times New Roman" w:cs="Times New Roman"/>
          <w:sz w:val="40"/>
          <w:szCs w:val="40"/>
        </w:rPr>
        <w:t xml:space="preserve">proseguendo il lavoro finora svolto </w:t>
      </w:r>
      <w:r w:rsidR="00C91EE6" w:rsidRPr="008C1188">
        <w:rPr>
          <w:rFonts w:ascii="Times New Roman" w:hAnsi="Times New Roman" w:cs="Times New Roman"/>
          <w:sz w:val="40"/>
          <w:szCs w:val="40"/>
        </w:rPr>
        <w:t>per</w:t>
      </w:r>
      <w:r w:rsidRPr="008C1188">
        <w:rPr>
          <w:rFonts w:ascii="Times New Roman" w:hAnsi="Times New Roman" w:cs="Times New Roman"/>
          <w:sz w:val="40"/>
          <w:szCs w:val="40"/>
        </w:rPr>
        <w:t xml:space="preserve"> concretizzare</w:t>
      </w:r>
      <w:r w:rsidR="00C91EE6" w:rsidRPr="008C1188">
        <w:rPr>
          <w:rFonts w:ascii="Times New Roman" w:hAnsi="Times New Roman" w:cs="Times New Roman"/>
          <w:sz w:val="40"/>
          <w:szCs w:val="40"/>
        </w:rPr>
        <w:t xml:space="preserve">, tra gli altri, </w:t>
      </w:r>
      <w:r w:rsidRPr="008C1188">
        <w:rPr>
          <w:rFonts w:ascii="Times New Roman" w:hAnsi="Times New Roman" w:cs="Times New Roman"/>
          <w:sz w:val="40"/>
          <w:szCs w:val="40"/>
        </w:rPr>
        <w:t>la formalizzazione del principio della preventiva intesa Governo-Regione. Proseguirà poi il lavoro per concretizzare l’avviato percorso per l’applicazione della Zona franca nel territorio valdostano e per tracciare il percorso di rinnovo delle concessioni idroelettriche.</w:t>
      </w:r>
    </w:p>
    <w:p w14:paraId="49D23843" w14:textId="77777777" w:rsidR="001B78BB" w:rsidRPr="008C1188" w:rsidRDefault="001B78BB" w:rsidP="008C1188">
      <w:pPr>
        <w:spacing w:after="0" w:line="288" w:lineRule="auto"/>
        <w:contextualSpacing/>
        <w:jc w:val="both"/>
        <w:rPr>
          <w:rFonts w:ascii="Times New Roman" w:hAnsi="Times New Roman" w:cs="Times New Roman"/>
          <w:sz w:val="40"/>
          <w:szCs w:val="40"/>
          <w:highlight w:val="yellow"/>
        </w:rPr>
      </w:pPr>
    </w:p>
    <w:p w14:paraId="45668F0E" w14:textId="72360E65" w:rsidR="001B78BB" w:rsidRPr="008C1188" w:rsidRDefault="00EC6ACA"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Pe</w:t>
      </w:r>
      <w:r w:rsidR="00417595" w:rsidRPr="008C1188">
        <w:rPr>
          <w:rFonts w:ascii="Times New Roman" w:hAnsi="Times New Roman" w:cs="Times New Roman"/>
          <w:sz w:val="40"/>
          <w:szCs w:val="40"/>
        </w:rPr>
        <w:t>r</w:t>
      </w:r>
      <w:r w:rsidRPr="008C1188">
        <w:rPr>
          <w:rFonts w:ascii="Times New Roman" w:hAnsi="Times New Roman" w:cs="Times New Roman"/>
          <w:sz w:val="40"/>
          <w:szCs w:val="40"/>
        </w:rPr>
        <w:t xml:space="preserve"> quanto attiene a</w:t>
      </w:r>
      <w:r w:rsidR="001B78BB" w:rsidRPr="008C1188">
        <w:rPr>
          <w:rFonts w:ascii="Times New Roman" w:hAnsi="Times New Roman" w:cs="Times New Roman"/>
          <w:sz w:val="40"/>
          <w:szCs w:val="40"/>
        </w:rPr>
        <w:t xml:space="preserve">llo specifico tema degli enti e delle società partecipate il DEFR aggiorna l’inventario delle società e degli enti partecipati e degli obiettivi istituzionali loro assegnati dalle rispettive leggi istitutive, </w:t>
      </w:r>
      <w:r w:rsidRPr="008C1188">
        <w:rPr>
          <w:rFonts w:ascii="Times New Roman" w:hAnsi="Times New Roman" w:cs="Times New Roman"/>
          <w:sz w:val="40"/>
          <w:szCs w:val="40"/>
        </w:rPr>
        <w:t xml:space="preserve">oltre a </w:t>
      </w:r>
      <w:r w:rsidRPr="008C1188">
        <w:rPr>
          <w:rFonts w:ascii="Times New Roman" w:hAnsi="Times New Roman" w:cs="Times New Roman"/>
          <w:sz w:val="40"/>
          <w:szCs w:val="40"/>
        </w:rPr>
        <w:lastRenderedPageBreak/>
        <w:t xml:space="preserve">declinare </w:t>
      </w:r>
      <w:r w:rsidR="001B78BB" w:rsidRPr="008C1188">
        <w:rPr>
          <w:rFonts w:ascii="Times New Roman" w:hAnsi="Times New Roman" w:cs="Times New Roman"/>
          <w:sz w:val="40"/>
          <w:szCs w:val="40"/>
        </w:rPr>
        <w:t>le Linee di indirizzo ai soggetti di rilevanza regionale.</w:t>
      </w:r>
      <w:r w:rsidR="00417595" w:rsidRPr="008C1188">
        <w:rPr>
          <w:rFonts w:ascii="Times New Roman" w:hAnsi="Times New Roman" w:cs="Times New Roman"/>
          <w:sz w:val="40"/>
          <w:szCs w:val="40"/>
        </w:rPr>
        <w:t xml:space="preserve"> G</w:t>
      </w:r>
      <w:r w:rsidR="001B78BB" w:rsidRPr="008C1188">
        <w:rPr>
          <w:rFonts w:ascii="Times New Roman" w:hAnsi="Times New Roman" w:cs="Times New Roman"/>
          <w:sz w:val="40"/>
          <w:szCs w:val="40"/>
        </w:rPr>
        <w:t>li obiettivi specifici annuali e pluriennali sulle spese di funzionamento in quella sede stabiliti che prevedono, in particolare</w:t>
      </w:r>
      <w:r w:rsidR="00417595" w:rsidRPr="008C1188">
        <w:rPr>
          <w:rFonts w:ascii="Times New Roman" w:hAnsi="Times New Roman" w:cs="Times New Roman"/>
          <w:sz w:val="40"/>
          <w:szCs w:val="40"/>
        </w:rPr>
        <w:t xml:space="preserve"> </w:t>
      </w:r>
      <w:r w:rsidR="001B78BB" w:rsidRPr="008C1188">
        <w:rPr>
          <w:rFonts w:ascii="Times New Roman" w:hAnsi="Times New Roman" w:cs="Times New Roman"/>
          <w:sz w:val="40"/>
          <w:szCs w:val="40"/>
        </w:rPr>
        <w:t>il mantenimento di un livello di spese di funzionamento</w:t>
      </w:r>
      <w:r w:rsidR="00417595" w:rsidRPr="008C1188">
        <w:rPr>
          <w:rFonts w:ascii="Times New Roman" w:hAnsi="Times New Roman" w:cs="Times New Roman"/>
          <w:sz w:val="40"/>
          <w:szCs w:val="40"/>
        </w:rPr>
        <w:t xml:space="preserve"> delle società</w:t>
      </w:r>
      <w:r w:rsidR="001B78BB" w:rsidRPr="008C1188">
        <w:rPr>
          <w:rFonts w:ascii="Times New Roman" w:hAnsi="Times New Roman" w:cs="Times New Roman"/>
          <w:sz w:val="40"/>
          <w:szCs w:val="40"/>
        </w:rPr>
        <w:t xml:space="preserve"> che garantisca in ogni caso il rispetto dell'equilibrio economico di bilancio</w:t>
      </w:r>
      <w:r w:rsidR="00417595" w:rsidRPr="008C1188">
        <w:rPr>
          <w:rFonts w:ascii="Times New Roman" w:hAnsi="Times New Roman" w:cs="Times New Roman"/>
          <w:sz w:val="40"/>
          <w:szCs w:val="40"/>
        </w:rPr>
        <w:t xml:space="preserve"> e </w:t>
      </w:r>
      <w:r w:rsidR="001B78BB" w:rsidRPr="008C1188">
        <w:rPr>
          <w:rFonts w:ascii="Times New Roman" w:hAnsi="Times New Roman" w:cs="Times New Roman"/>
          <w:sz w:val="40"/>
          <w:szCs w:val="40"/>
        </w:rPr>
        <w:t>il rispetto degli indirizzi volti a garantire la concreta attuazione dei principi di pubblicità, imparzialità e economicità nelle procedure di reclutamento del personale.</w:t>
      </w:r>
    </w:p>
    <w:p w14:paraId="0A8AF391" w14:textId="77777777" w:rsidR="001B78BB" w:rsidRPr="008C1188" w:rsidRDefault="001B78BB" w:rsidP="008C1188">
      <w:pPr>
        <w:spacing w:after="0" w:line="288" w:lineRule="auto"/>
        <w:contextualSpacing/>
        <w:jc w:val="both"/>
        <w:rPr>
          <w:rFonts w:ascii="Times New Roman" w:hAnsi="Times New Roman" w:cs="Times New Roman"/>
          <w:sz w:val="40"/>
          <w:szCs w:val="40"/>
        </w:rPr>
      </w:pPr>
    </w:p>
    <w:p w14:paraId="0FAEAF3C" w14:textId="6A2219DE" w:rsidR="001B78BB" w:rsidRDefault="00417595"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N</w:t>
      </w:r>
      <w:r w:rsidR="001B78BB" w:rsidRPr="008C1188">
        <w:rPr>
          <w:rFonts w:ascii="Times New Roman" w:hAnsi="Times New Roman" w:cs="Times New Roman"/>
          <w:sz w:val="40"/>
          <w:szCs w:val="40"/>
        </w:rPr>
        <w:t xml:space="preserve">el DEFR 2025-2027 si dà </w:t>
      </w:r>
      <w:r w:rsidRPr="008C1188">
        <w:rPr>
          <w:rFonts w:ascii="Times New Roman" w:hAnsi="Times New Roman" w:cs="Times New Roman"/>
          <w:sz w:val="40"/>
          <w:szCs w:val="40"/>
        </w:rPr>
        <w:t xml:space="preserve">inoltre </w:t>
      </w:r>
      <w:r w:rsidR="001B78BB" w:rsidRPr="008C1188">
        <w:rPr>
          <w:rFonts w:ascii="Times New Roman" w:hAnsi="Times New Roman" w:cs="Times New Roman"/>
          <w:sz w:val="40"/>
          <w:szCs w:val="40"/>
        </w:rPr>
        <w:t>una ulteriore spinta al principio di rendicontabilità, in quanto a fianco dell’obbligo di rendicontazione in capo alle società controllate, le società sono tenute a rendicontare sul pieno/parziale/mancato raggiungimento degli obiettivi strategici stabiliti nel DEFR. In tale contesto, il DEFR 2025/2027</w:t>
      </w:r>
      <w:r w:rsidRPr="008C1188">
        <w:rPr>
          <w:rFonts w:ascii="Times New Roman" w:hAnsi="Times New Roman" w:cs="Times New Roman"/>
          <w:sz w:val="40"/>
          <w:szCs w:val="40"/>
        </w:rPr>
        <w:t xml:space="preserve"> è </w:t>
      </w:r>
      <w:r w:rsidR="001B78BB" w:rsidRPr="008C1188">
        <w:rPr>
          <w:rFonts w:ascii="Times New Roman" w:hAnsi="Times New Roman" w:cs="Times New Roman"/>
          <w:sz w:val="40"/>
          <w:szCs w:val="40"/>
        </w:rPr>
        <w:t>il primo predisposto secondo questo ciclo di programmazione e controllo, al fine della migliore definizione dei nuovi obiettivi strategici.</w:t>
      </w:r>
    </w:p>
    <w:p w14:paraId="39473F7A"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40B57D58" w14:textId="7ACCA511" w:rsidR="001B78BB" w:rsidRPr="008C1188" w:rsidRDefault="00ED5ABF"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E, infine, il DEFR traccia quelli che potranno essere le tempistiche e il percorso per la definizione della gestione della Casa da Gioco successivamente alla chiusura della procedura di concordato.</w:t>
      </w:r>
    </w:p>
    <w:p w14:paraId="4100D0CE" w14:textId="30034747" w:rsidR="00417595" w:rsidRPr="008C1188" w:rsidRDefault="00417595"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L’esame delle previsioni relative alle tematiche</w:t>
      </w:r>
      <w:r w:rsidR="008F5A63" w:rsidRPr="008C1188">
        <w:rPr>
          <w:rFonts w:ascii="Times New Roman" w:hAnsi="Times New Roman" w:cs="Times New Roman"/>
          <w:sz w:val="40"/>
          <w:szCs w:val="40"/>
        </w:rPr>
        <w:t xml:space="preserve"> e ai settori</w:t>
      </w:r>
      <w:r w:rsidRPr="008C1188">
        <w:rPr>
          <w:rFonts w:ascii="Times New Roman" w:hAnsi="Times New Roman" w:cs="Times New Roman"/>
          <w:sz w:val="40"/>
          <w:szCs w:val="40"/>
        </w:rPr>
        <w:t xml:space="preserve"> di competenza dei singoli Assessorati evidenza come il tema della sostenibilità</w:t>
      </w:r>
      <w:r w:rsidR="008F5A63" w:rsidRPr="008C1188">
        <w:rPr>
          <w:rFonts w:ascii="Times New Roman" w:hAnsi="Times New Roman" w:cs="Times New Roman"/>
          <w:sz w:val="40"/>
          <w:szCs w:val="40"/>
        </w:rPr>
        <w:t xml:space="preserve"> sia il filo conduttore delle azioni e degli obiettivi per il prossimo triennio.</w:t>
      </w:r>
      <w:r w:rsidRPr="008C1188">
        <w:rPr>
          <w:rFonts w:ascii="Times New Roman" w:hAnsi="Times New Roman" w:cs="Times New Roman"/>
          <w:sz w:val="40"/>
          <w:szCs w:val="40"/>
        </w:rPr>
        <w:t xml:space="preserve"> </w:t>
      </w:r>
    </w:p>
    <w:p w14:paraId="27047187" w14:textId="77777777" w:rsidR="0091181A" w:rsidRDefault="008F5A63"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Riguardo ai temi della </w:t>
      </w:r>
      <w:r w:rsidR="008C69E6" w:rsidRPr="008C1188">
        <w:rPr>
          <w:rFonts w:ascii="Times New Roman" w:hAnsi="Times New Roman" w:cs="Times New Roman"/>
          <w:b/>
          <w:bCs/>
          <w:sz w:val="40"/>
          <w:szCs w:val="40"/>
        </w:rPr>
        <w:t xml:space="preserve">gestione del territorio e </w:t>
      </w:r>
      <w:r w:rsidRPr="008C1188">
        <w:rPr>
          <w:rFonts w:ascii="Times New Roman" w:hAnsi="Times New Roman" w:cs="Times New Roman"/>
          <w:b/>
          <w:bCs/>
          <w:sz w:val="40"/>
          <w:szCs w:val="40"/>
        </w:rPr>
        <w:t>del</w:t>
      </w:r>
      <w:r w:rsidR="008C69E6" w:rsidRPr="008C1188">
        <w:rPr>
          <w:rFonts w:ascii="Times New Roman" w:hAnsi="Times New Roman" w:cs="Times New Roman"/>
          <w:b/>
          <w:bCs/>
          <w:sz w:val="40"/>
          <w:szCs w:val="40"/>
        </w:rPr>
        <w:t>l’attenzione per l’ambiente</w:t>
      </w:r>
      <w:r w:rsidR="008C69E6" w:rsidRPr="008C1188">
        <w:rPr>
          <w:rFonts w:ascii="Times New Roman" w:hAnsi="Times New Roman" w:cs="Times New Roman"/>
          <w:sz w:val="40"/>
          <w:szCs w:val="40"/>
        </w:rPr>
        <w:t xml:space="preserve">, è di tutta evidenza come </w:t>
      </w:r>
      <w:r w:rsidRPr="008C1188">
        <w:rPr>
          <w:rFonts w:ascii="Times New Roman" w:hAnsi="Times New Roman" w:cs="Times New Roman"/>
          <w:sz w:val="40"/>
          <w:szCs w:val="40"/>
        </w:rPr>
        <w:t>anche la nostra regione</w:t>
      </w:r>
      <w:r w:rsidR="008C69E6" w:rsidRPr="008C1188">
        <w:rPr>
          <w:rFonts w:ascii="Times New Roman" w:hAnsi="Times New Roman" w:cs="Times New Roman"/>
          <w:sz w:val="40"/>
          <w:szCs w:val="40"/>
        </w:rPr>
        <w:t xml:space="preserve"> risulti </w:t>
      </w:r>
      <w:r w:rsidRPr="008C1188">
        <w:rPr>
          <w:rFonts w:ascii="Times New Roman" w:hAnsi="Times New Roman" w:cs="Times New Roman"/>
          <w:sz w:val="40"/>
          <w:szCs w:val="40"/>
        </w:rPr>
        <w:t xml:space="preserve">ormai </w:t>
      </w:r>
      <w:r w:rsidR="008C69E6" w:rsidRPr="008C1188">
        <w:rPr>
          <w:rFonts w:ascii="Times New Roman" w:hAnsi="Times New Roman" w:cs="Times New Roman"/>
          <w:sz w:val="40"/>
          <w:szCs w:val="40"/>
        </w:rPr>
        <w:t xml:space="preserve">sempre più </w:t>
      </w:r>
      <w:r w:rsidRPr="008C1188">
        <w:rPr>
          <w:rFonts w:ascii="Times New Roman" w:hAnsi="Times New Roman" w:cs="Times New Roman"/>
          <w:sz w:val="40"/>
          <w:szCs w:val="40"/>
        </w:rPr>
        <w:t xml:space="preserve">soggetta e </w:t>
      </w:r>
      <w:r w:rsidR="008C69E6" w:rsidRPr="008C1188">
        <w:rPr>
          <w:rFonts w:ascii="Times New Roman" w:hAnsi="Times New Roman" w:cs="Times New Roman"/>
          <w:sz w:val="40"/>
          <w:szCs w:val="40"/>
        </w:rPr>
        <w:t xml:space="preserve">vulnerabile alle anomalie stagionali. </w:t>
      </w:r>
      <w:r w:rsidRPr="008C1188">
        <w:rPr>
          <w:rFonts w:ascii="Times New Roman" w:hAnsi="Times New Roman" w:cs="Times New Roman"/>
          <w:sz w:val="40"/>
          <w:szCs w:val="40"/>
        </w:rPr>
        <w:t xml:space="preserve"> </w:t>
      </w:r>
    </w:p>
    <w:p w14:paraId="69D2085E" w14:textId="77777777" w:rsidR="0091181A" w:rsidRDefault="00D95A1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Nel 2022</w:t>
      </w:r>
      <w:r w:rsidR="008F5A63" w:rsidRPr="008C1188">
        <w:rPr>
          <w:rFonts w:ascii="Times New Roman" w:hAnsi="Times New Roman" w:cs="Times New Roman"/>
          <w:sz w:val="40"/>
          <w:szCs w:val="40"/>
        </w:rPr>
        <w:t>, infatti,</w:t>
      </w:r>
      <w:r w:rsidRPr="008C1188">
        <w:rPr>
          <w:rFonts w:ascii="Times New Roman" w:hAnsi="Times New Roman" w:cs="Times New Roman"/>
          <w:sz w:val="40"/>
          <w:szCs w:val="40"/>
        </w:rPr>
        <w:t xml:space="preserve"> la Regione è stata interessata da gravi carenze delle disponibilità idriche </w:t>
      </w:r>
      <w:r w:rsidR="00D11BD2" w:rsidRPr="008C1188">
        <w:rPr>
          <w:rFonts w:ascii="Times New Roman" w:hAnsi="Times New Roman" w:cs="Times New Roman"/>
          <w:sz w:val="40"/>
          <w:szCs w:val="40"/>
        </w:rPr>
        <w:t>mentre</w:t>
      </w:r>
      <w:r w:rsidR="00133BB1" w:rsidRPr="008C1188">
        <w:rPr>
          <w:rFonts w:ascii="Times New Roman" w:hAnsi="Times New Roman" w:cs="Times New Roman"/>
          <w:sz w:val="40"/>
          <w:szCs w:val="40"/>
        </w:rPr>
        <w:t>,</w:t>
      </w:r>
      <w:r w:rsidRPr="008C1188">
        <w:rPr>
          <w:rFonts w:ascii="Times New Roman" w:hAnsi="Times New Roman" w:cs="Times New Roman"/>
          <w:sz w:val="40"/>
          <w:szCs w:val="40"/>
        </w:rPr>
        <w:t xml:space="preserve"> </w:t>
      </w:r>
      <w:r w:rsidR="008F5A63" w:rsidRPr="008C1188">
        <w:rPr>
          <w:rFonts w:ascii="Times New Roman" w:hAnsi="Times New Roman" w:cs="Times New Roman"/>
          <w:sz w:val="40"/>
          <w:szCs w:val="40"/>
        </w:rPr>
        <w:t xml:space="preserve">più recentemente, </w:t>
      </w:r>
      <w:r w:rsidRPr="008C1188">
        <w:rPr>
          <w:rFonts w:ascii="Times New Roman" w:hAnsi="Times New Roman" w:cs="Times New Roman"/>
          <w:sz w:val="40"/>
          <w:szCs w:val="40"/>
        </w:rPr>
        <w:t>il 29 giugno 2024</w:t>
      </w:r>
      <w:r w:rsidR="008F5A63" w:rsidRPr="008C1188">
        <w:rPr>
          <w:rFonts w:ascii="Times New Roman" w:hAnsi="Times New Roman" w:cs="Times New Roman"/>
          <w:sz w:val="40"/>
          <w:szCs w:val="40"/>
        </w:rPr>
        <w:t>,</w:t>
      </w:r>
      <w:r w:rsidRPr="008C1188">
        <w:rPr>
          <w:rFonts w:ascii="Times New Roman" w:hAnsi="Times New Roman" w:cs="Times New Roman"/>
          <w:sz w:val="40"/>
          <w:szCs w:val="40"/>
        </w:rPr>
        <w:t xml:space="preserve"> </w:t>
      </w:r>
      <w:r w:rsidR="00D11BD2" w:rsidRPr="008C1188">
        <w:rPr>
          <w:rFonts w:ascii="Times New Roman" w:hAnsi="Times New Roman" w:cs="Times New Roman"/>
          <w:sz w:val="40"/>
          <w:szCs w:val="40"/>
        </w:rPr>
        <w:t>sono ancora vivi in tutti noi gli effetti dell’alluvione sul nostro territorio</w:t>
      </w:r>
      <w:r w:rsidRPr="008C1188">
        <w:rPr>
          <w:rFonts w:ascii="Times New Roman" w:hAnsi="Times New Roman" w:cs="Times New Roman"/>
          <w:sz w:val="40"/>
          <w:szCs w:val="40"/>
        </w:rPr>
        <w:t xml:space="preserve">. </w:t>
      </w:r>
    </w:p>
    <w:p w14:paraId="4F377835" w14:textId="183CA6A7" w:rsidR="00D95A18" w:rsidRDefault="00133BB1"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L</w:t>
      </w:r>
      <w:r w:rsidR="00D95A18" w:rsidRPr="008C1188">
        <w:rPr>
          <w:rFonts w:ascii="Times New Roman" w:hAnsi="Times New Roman" w:cs="Times New Roman"/>
          <w:sz w:val="40"/>
          <w:szCs w:val="40"/>
        </w:rPr>
        <w:t>e azioni per fare fronte agli effetti dei cambiamenti climatici devono trovare il loro quadro di riferimento e di attuazione negli strumenti di pianificazione territoriale</w:t>
      </w:r>
      <w:r w:rsidR="008F5A63" w:rsidRPr="008C1188">
        <w:rPr>
          <w:rFonts w:ascii="Times New Roman" w:hAnsi="Times New Roman" w:cs="Times New Roman"/>
          <w:sz w:val="40"/>
          <w:szCs w:val="40"/>
        </w:rPr>
        <w:t>: in tal senso è necessario</w:t>
      </w:r>
      <w:r w:rsidR="00D11BD2" w:rsidRPr="008C1188">
        <w:rPr>
          <w:rFonts w:ascii="Times New Roman" w:hAnsi="Times New Roman" w:cs="Times New Roman"/>
          <w:sz w:val="40"/>
          <w:szCs w:val="40"/>
        </w:rPr>
        <w:t xml:space="preserve"> dunque</w:t>
      </w:r>
      <w:r w:rsidR="008F5A63" w:rsidRPr="008C1188">
        <w:rPr>
          <w:rFonts w:ascii="Times New Roman" w:hAnsi="Times New Roman" w:cs="Times New Roman"/>
          <w:sz w:val="40"/>
          <w:szCs w:val="40"/>
        </w:rPr>
        <w:t xml:space="preserve"> r</w:t>
      </w:r>
      <w:r w:rsidR="00D95A18" w:rsidRPr="008C1188">
        <w:rPr>
          <w:rFonts w:ascii="Times New Roman" w:hAnsi="Times New Roman" w:cs="Times New Roman"/>
          <w:sz w:val="40"/>
          <w:szCs w:val="40"/>
        </w:rPr>
        <w:t xml:space="preserve">afforzare l’azione per la tutela delle risorse idriche in un’ottica di gestione sostenibile delle stesse, per non pregiudicare il patrimonio idrico, la vivibilità dell’ambiente, la fauna e la flora acquatiche, i processi geomorfologici e gli equilibri idrologici. Si rende pertanto </w:t>
      </w:r>
      <w:r w:rsidR="008F5A63" w:rsidRPr="008C1188">
        <w:rPr>
          <w:rFonts w:ascii="Times New Roman" w:hAnsi="Times New Roman" w:cs="Times New Roman"/>
          <w:sz w:val="40"/>
          <w:szCs w:val="40"/>
        </w:rPr>
        <w:t>indispensabile</w:t>
      </w:r>
      <w:r w:rsidR="00D95A18" w:rsidRPr="008C1188">
        <w:rPr>
          <w:rFonts w:ascii="Times New Roman" w:hAnsi="Times New Roman" w:cs="Times New Roman"/>
          <w:sz w:val="40"/>
          <w:szCs w:val="40"/>
        </w:rPr>
        <w:t xml:space="preserve"> sviluppare azioni per migliorare e adeguare la gestione integrata del ciclo delle acque dall’approvvigionamento idropotabile.</w:t>
      </w:r>
    </w:p>
    <w:p w14:paraId="13D61DA9"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31F64714" w14:textId="3997E4BA" w:rsidR="00D95A18" w:rsidRDefault="00D95A1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Nel settore delle infrastrutture e della manutenzione del territorio, proseguiranno</w:t>
      </w:r>
      <w:r w:rsidR="008C69E6" w:rsidRPr="008C1188">
        <w:rPr>
          <w:rFonts w:ascii="Times New Roman" w:hAnsi="Times New Roman" w:cs="Times New Roman"/>
          <w:sz w:val="40"/>
          <w:szCs w:val="40"/>
        </w:rPr>
        <w:t xml:space="preserve"> inoltre</w:t>
      </w:r>
      <w:r w:rsidRPr="008C1188">
        <w:rPr>
          <w:rFonts w:ascii="Times New Roman" w:hAnsi="Times New Roman" w:cs="Times New Roman"/>
          <w:sz w:val="40"/>
          <w:szCs w:val="40"/>
        </w:rPr>
        <w:t xml:space="preserve"> gli interventi di riqualificazione delle reti e degli immobili pubblici, anche potenziando le misure a favore dei Comuni </w:t>
      </w:r>
      <w:r w:rsidR="008F5A63" w:rsidRPr="008C1188">
        <w:rPr>
          <w:rFonts w:ascii="Times New Roman" w:hAnsi="Times New Roman" w:cs="Times New Roman"/>
          <w:sz w:val="40"/>
          <w:szCs w:val="40"/>
        </w:rPr>
        <w:t xml:space="preserve">valdostani: gli interventi concerneranno </w:t>
      </w:r>
      <w:r w:rsidRPr="008C1188">
        <w:rPr>
          <w:rFonts w:ascii="Times New Roman" w:hAnsi="Times New Roman" w:cs="Times New Roman"/>
          <w:sz w:val="40"/>
          <w:szCs w:val="40"/>
        </w:rPr>
        <w:t>l’efficientamento e l’ammodernamento di edifici istituzionali</w:t>
      </w:r>
      <w:r w:rsidR="008F5A63" w:rsidRPr="008C1188">
        <w:rPr>
          <w:rFonts w:ascii="Times New Roman" w:hAnsi="Times New Roman" w:cs="Times New Roman"/>
          <w:sz w:val="40"/>
          <w:szCs w:val="40"/>
        </w:rPr>
        <w:t xml:space="preserve">, </w:t>
      </w:r>
      <w:r w:rsidRPr="008C1188">
        <w:rPr>
          <w:rFonts w:ascii="Times New Roman" w:hAnsi="Times New Roman" w:cs="Times New Roman"/>
          <w:sz w:val="40"/>
          <w:szCs w:val="40"/>
        </w:rPr>
        <w:t>l’edilizia scolastica e</w:t>
      </w:r>
      <w:r w:rsidR="008F5A63" w:rsidRPr="008C1188">
        <w:rPr>
          <w:rFonts w:ascii="Times New Roman" w:hAnsi="Times New Roman" w:cs="Times New Roman"/>
          <w:sz w:val="40"/>
          <w:szCs w:val="40"/>
        </w:rPr>
        <w:t xml:space="preserve">, </w:t>
      </w:r>
      <w:r w:rsidRPr="008C1188">
        <w:rPr>
          <w:rFonts w:ascii="Times New Roman" w:hAnsi="Times New Roman" w:cs="Times New Roman"/>
          <w:sz w:val="40"/>
          <w:szCs w:val="40"/>
        </w:rPr>
        <w:t>tramite SIV</w:t>
      </w:r>
      <w:r w:rsidR="008F5A63" w:rsidRPr="008C1188">
        <w:rPr>
          <w:rFonts w:ascii="Times New Roman" w:hAnsi="Times New Roman" w:cs="Times New Roman"/>
          <w:sz w:val="40"/>
          <w:szCs w:val="40"/>
        </w:rPr>
        <w:t>, il</w:t>
      </w:r>
      <w:r w:rsidRPr="008C1188">
        <w:rPr>
          <w:rFonts w:ascii="Times New Roman" w:hAnsi="Times New Roman" w:cs="Times New Roman"/>
          <w:sz w:val="40"/>
          <w:szCs w:val="40"/>
        </w:rPr>
        <w:t xml:space="preserve"> polo universitario, </w:t>
      </w:r>
      <w:r w:rsidR="00133BB1" w:rsidRPr="008C1188">
        <w:rPr>
          <w:rFonts w:ascii="Times New Roman" w:hAnsi="Times New Roman" w:cs="Times New Roman"/>
          <w:sz w:val="40"/>
          <w:szCs w:val="40"/>
        </w:rPr>
        <w:t xml:space="preserve">oltre alle </w:t>
      </w:r>
      <w:r w:rsidR="00133BB1" w:rsidRPr="008C1188">
        <w:rPr>
          <w:rFonts w:ascii="Times New Roman" w:hAnsi="Times New Roman" w:cs="Times New Roman"/>
          <w:sz w:val="40"/>
          <w:szCs w:val="40"/>
        </w:rPr>
        <w:lastRenderedPageBreak/>
        <w:t>in</w:t>
      </w:r>
      <w:r w:rsidRPr="008C1188">
        <w:rPr>
          <w:rFonts w:ascii="Times New Roman" w:hAnsi="Times New Roman" w:cs="Times New Roman"/>
          <w:sz w:val="40"/>
          <w:szCs w:val="40"/>
        </w:rPr>
        <w:t xml:space="preserve">frastrutture sportive e </w:t>
      </w:r>
      <w:r w:rsidR="00133BB1" w:rsidRPr="008C1188">
        <w:rPr>
          <w:rFonts w:ascii="Times New Roman" w:hAnsi="Times New Roman" w:cs="Times New Roman"/>
          <w:sz w:val="40"/>
          <w:szCs w:val="40"/>
        </w:rPr>
        <w:t>al</w:t>
      </w:r>
      <w:r w:rsidRPr="008C1188">
        <w:rPr>
          <w:rFonts w:ascii="Times New Roman" w:hAnsi="Times New Roman" w:cs="Times New Roman"/>
          <w:sz w:val="40"/>
          <w:szCs w:val="40"/>
        </w:rPr>
        <w:t>la rete ciclabile di fondovalle.</w:t>
      </w:r>
      <w:r w:rsidR="008C69E6" w:rsidRPr="008C1188">
        <w:rPr>
          <w:rFonts w:ascii="Times New Roman" w:hAnsi="Times New Roman" w:cs="Times New Roman"/>
          <w:sz w:val="40"/>
          <w:szCs w:val="40"/>
        </w:rPr>
        <w:t xml:space="preserve"> Quest’ultima rappresenterà un prodotto completo</w:t>
      </w:r>
      <w:r w:rsidR="00133BB1" w:rsidRPr="008C1188">
        <w:rPr>
          <w:rFonts w:ascii="Times New Roman" w:hAnsi="Times New Roman" w:cs="Times New Roman"/>
          <w:sz w:val="40"/>
          <w:szCs w:val="40"/>
        </w:rPr>
        <w:t>, e sostenibile,</w:t>
      </w:r>
      <w:r w:rsidR="008C69E6" w:rsidRPr="008C1188">
        <w:rPr>
          <w:rFonts w:ascii="Times New Roman" w:hAnsi="Times New Roman" w:cs="Times New Roman"/>
          <w:sz w:val="40"/>
          <w:szCs w:val="40"/>
        </w:rPr>
        <w:t xml:space="preserve"> a disposizione della comunità, permettendo </w:t>
      </w:r>
      <w:r w:rsidR="00133BB1" w:rsidRPr="008C1188">
        <w:rPr>
          <w:rFonts w:ascii="Times New Roman" w:hAnsi="Times New Roman" w:cs="Times New Roman"/>
          <w:sz w:val="40"/>
          <w:szCs w:val="40"/>
        </w:rPr>
        <w:t xml:space="preserve">altresì </w:t>
      </w:r>
      <w:r w:rsidR="008C69E6" w:rsidRPr="008C1188">
        <w:rPr>
          <w:rFonts w:ascii="Times New Roman" w:hAnsi="Times New Roman" w:cs="Times New Roman"/>
          <w:sz w:val="40"/>
          <w:szCs w:val="40"/>
        </w:rPr>
        <w:t xml:space="preserve">di rendere pienamente fruibili </w:t>
      </w:r>
      <w:r w:rsidR="00133BB1" w:rsidRPr="008C1188">
        <w:rPr>
          <w:rFonts w:ascii="Times New Roman" w:hAnsi="Times New Roman" w:cs="Times New Roman"/>
          <w:sz w:val="40"/>
          <w:szCs w:val="40"/>
        </w:rPr>
        <w:t xml:space="preserve">tutte </w:t>
      </w:r>
      <w:r w:rsidR="008C69E6" w:rsidRPr="008C1188">
        <w:rPr>
          <w:rFonts w:ascii="Times New Roman" w:hAnsi="Times New Roman" w:cs="Times New Roman"/>
          <w:sz w:val="40"/>
          <w:szCs w:val="40"/>
        </w:rPr>
        <w:t>le infrastrutture nel loro complesso.</w:t>
      </w:r>
    </w:p>
    <w:p w14:paraId="132E809A"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2D2277E8" w14:textId="692F3754" w:rsidR="00D95A18" w:rsidRPr="008C1188" w:rsidRDefault="00D95A1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In tema di </w:t>
      </w:r>
      <w:r w:rsidRPr="008C1188">
        <w:rPr>
          <w:rFonts w:ascii="Times New Roman" w:hAnsi="Times New Roman" w:cs="Times New Roman"/>
          <w:b/>
          <w:bCs/>
          <w:sz w:val="40"/>
          <w:szCs w:val="40"/>
        </w:rPr>
        <w:t>viabilità e sicurezza stradale</w:t>
      </w:r>
      <w:r w:rsidRPr="008C1188">
        <w:rPr>
          <w:rFonts w:ascii="Times New Roman" w:hAnsi="Times New Roman" w:cs="Times New Roman"/>
          <w:sz w:val="40"/>
          <w:szCs w:val="40"/>
        </w:rPr>
        <w:t xml:space="preserve"> proseguono gli interventi programmati, soprattutto in relazione all’adeguamento di ponti e viadotti regionali</w:t>
      </w:r>
      <w:r w:rsidR="00133BB1" w:rsidRPr="008C1188">
        <w:rPr>
          <w:rFonts w:ascii="Times New Roman" w:hAnsi="Times New Roman" w:cs="Times New Roman"/>
          <w:sz w:val="40"/>
          <w:szCs w:val="40"/>
        </w:rPr>
        <w:t>,</w:t>
      </w:r>
      <w:r w:rsidRPr="008C1188">
        <w:rPr>
          <w:rFonts w:ascii="Times New Roman" w:hAnsi="Times New Roman" w:cs="Times New Roman"/>
          <w:sz w:val="40"/>
          <w:szCs w:val="40"/>
        </w:rPr>
        <w:t xml:space="preserve"> </w:t>
      </w:r>
      <w:r w:rsidR="00133BB1" w:rsidRPr="008C1188">
        <w:rPr>
          <w:rFonts w:ascii="Times New Roman" w:hAnsi="Times New Roman" w:cs="Times New Roman"/>
          <w:sz w:val="40"/>
          <w:szCs w:val="40"/>
        </w:rPr>
        <w:t>c</w:t>
      </w:r>
      <w:r w:rsidRPr="008C1188">
        <w:rPr>
          <w:rFonts w:ascii="Times New Roman" w:hAnsi="Times New Roman" w:cs="Times New Roman"/>
          <w:sz w:val="40"/>
          <w:szCs w:val="40"/>
        </w:rPr>
        <w:t>osì come le progettazioni dei due tratti di pista ciclabile</w:t>
      </w:r>
      <w:r w:rsidR="00133BB1" w:rsidRPr="008C1188">
        <w:rPr>
          <w:rFonts w:ascii="Times New Roman" w:hAnsi="Times New Roman" w:cs="Times New Roman"/>
          <w:sz w:val="40"/>
          <w:szCs w:val="40"/>
        </w:rPr>
        <w:t xml:space="preserve">, </w:t>
      </w:r>
      <w:r w:rsidRPr="008C1188">
        <w:rPr>
          <w:rFonts w:ascii="Times New Roman" w:hAnsi="Times New Roman" w:cs="Times New Roman"/>
          <w:sz w:val="40"/>
          <w:szCs w:val="40"/>
        </w:rPr>
        <w:t>in linea con la programmazione originaria.</w:t>
      </w:r>
      <w:r w:rsidR="008C69E6" w:rsidRPr="008C1188">
        <w:rPr>
          <w:rFonts w:ascii="Times New Roman" w:hAnsi="Times New Roman" w:cs="Times New Roman"/>
          <w:sz w:val="40"/>
          <w:szCs w:val="40"/>
        </w:rPr>
        <w:t xml:space="preserve"> In questo contesto, rimangono sempre attuali le interlocuzioni sia con ANAS che con i gestori della rete autostradale e dei trafori, finalizzate a garantire l’accessibilità della rete viaria della nostra regione sia dall’esterno che internamente.</w:t>
      </w:r>
    </w:p>
    <w:p w14:paraId="1E5ED839" w14:textId="77777777" w:rsidR="00D95A18" w:rsidRPr="008C1188" w:rsidRDefault="00D95A18" w:rsidP="008C1188">
      <w:pPr>
        <w:spacing w:after="0" w:line="288" w:lineRule="auto"/>
        <w:contextualSpacing/>
        <w:jc w:val="both"/>
        <w:rPr>
          <w:rFonts w:ascii="Times New Roman" w:hAnsi="Times New Roman" w:cs="Times New Roman"/>
          <w:sz w:val="40"/>
          <w:szCs w:val="40"/>
        </w:rPr>
      </w:pPr>
    </w:p>
    <w:p w14:paraId="226CF287" w14:textId="4C8FD07F" w:rsidR="00D95A18" w:rsidRPr="008C1188" w:rsidRDefault="00D95A1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La </w:t>
      </w:r>
      <w:r w:rsidRPr="0091181A">
        <w:rPr>
          <w:rFonts w:ascii="Times New Roman" w:hAnsi="Times New Roman" w:cs="Times New Roman"/>
          <w:b/>
          <w:bCs/>
          <w:sz w:val="40"/>
          <w:szCs w:val="40"/>
        </w:rPr>
        <w:t>tutela della biodiversità</w:t>
      </w:r>
      <w:r w:rsidRPr="008C1188">
        <w:rPr>
          <w:rFonts w:ascii="Times New Roman" w:hAnsi="Times New Roman" w:cs="Times New Roman"/>
          <w:sz w:val="40"/>
          <w:szCs w:val="40"/>
        </w:rPr>
        <w:t xml:space="preserve">, la funzionalità dei servizi eco sistemici e la fruizione sostenibile del territorio, sono anch’essi obiettivi strategici che dovranno considerare anche la corretta gestione e valorizzazione delle aree naturali protette e dei siti della rete ecologica Natura 2000, così come l’approfondimento delle conoscenze scientifiche sul patrimonio tutelato e sugli effetti dei cambiamenti climatici sulle componenti naturali. </w:t>
      </w:r>
      <w:r w:rsidR="008C69E6" w:rsidRPr="008C1188">
        <w:rPr>
          <w:rFonts w:ascii="Times New Roman" w:hAnsi="Times New Roman" w:cs="Times New Roman"/>
          <w:sz w:val="40"/>
          <w:szCs w:val="40"/>
        </w:rPr>
        <w:t>Nel prossimo futuro, si intende infatti sostenere il ruolo chiave della ricerca anche nei settori attinenti all’ambiente.</w:t>
      </w:r>
    </w:p>
    <w:p w14:paraId="325FCBC6" w14:textId="01B42D2A" w:rsidR="00E56DCF" w:rsidRPr="008C1188" w:rsidRDefault="008C69E6"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È inoltre</w:t>
      </w:r>
      <w:r w:rsidR="00D95A18" w:rsidRPr="008C1188">
        <w:rPr>
          <w:rFonts w:ascii="Times New Roman" w:hAnsi="Times New Roman" w:cs="Times New Roman"/>
          <w:sz w:val="40"/>
          <w:szCs w:val="40"/>
        </w:rPr>
        <w:t xml:space="preserve"> in fase di elaborazione il Piano regionale di adattamento al </w:t>
      </w:r>
      <w:r w:rsidR="00D95A18" w:rsidRPr="008C1188">
        <w:rPr>
          <w:rFonts w:ascii="Times New Roman" w:hAnsi="Times New Roman" w:cs="Times New Roman"/>
          <w:b/>
          <w:bCs/>
          <w:sz w:val="40"/>
          <w:szCs w:val="40"/>
        </w:rPr>
        <w:t>cambiamento climatico</w:t>
      </w:r>
      <w:r w:rsidR="00D95A18" w:rsidRPr="008C1188">
        <w:rPr>
          <w:rFonts w:ascii="Times New Roman" w:hAnsi="Times New Roman" w:cs="Times New Roman"/>
          <w:sz w:val="40"/>
          <w:szCs w:val="40"/>
        </w:rPr>
        <w:t>, evoluzione della Strategia approvata nel 2021. La Strategia regionale di sviluppo sostenibile è stata approvata nel mese di gennaio 2023</w:t>
      </w:r>
      <w:r w:rsidR="00133BB1" w:rsidRPr="008C1188">
        <w:rPr>
          <w:rFonts w:ascii="Times New Roman" w:hAnsi="Times New Roman" w:cs="Times New Roman"/>
          <w:sz w:val="40"/>
          <w:szCs w:val="40"/>
        </w:rPr>
        <w:t>, mentre i</w:t>
      </w:r>
      <w:r w:rsidR="00D95A18" w:rsidRPr="008C1188">
        <w:rPr>
          <w:rFonts w:ascii="Times New Roman" w:hAnsi="Times New Roman" w:cs="Times New Roman"/>
          <w:sz w:val="40"/>
          <w:szCs w:val="40"/>
        </w:rPr>
        <w:t>l Piano regionale per il risanamento, miglioramento e mantenimento della qualità dell'aria scade nel 2024 e</w:t>
      </w:r>
      <w:r w:rsidR="00133BB1" w:rsidRPr="008C1188">
        <w:rPr>
          <w:rFonts w:ascii="Times New Roman" w:hAnsi="Times New Roman" w:cs="Times New Roman"/>
          <w:sz w:val="40"/>
          <w:szCs w:val="40"/>
        </w:rPr>
        <w:t xml:space="preserve">d è già </w:t>
      </w:r>
      <w:r w:rsidR="00D95A18" w:rsidRPr="008C1188">
        <w:rPr>
          <w:rFonts w:ascii="Times New Roman" w:hAnsi="Times New Roman" w:cs="Times New Roman"/>
          <w:sz w:val="40"/>
          <w:szCs w:val="40"/>
        </w:rPr>
        <w:t>stata avviata l’attività di stesura del nuovo Piano</w:t>
      </w:r>
      <w:r w:rsidR="00133BB1" w:rsidRPr="008C1188">
        <w:rPr>
          <w:rFonts w:ascii="Times New Roman" w:hAnsi="Times New Roman" w:cs="Times New Roman"/>
          <w:sz w:val="40"/>
          <w:szCs w:val="40"/>
        </w:rPr>
        <w:t>,</w:t>
      </w:r>
      <w:r w:rsidR="00D95A18" w:rsidRPr="008C1188">
        <w:rPr>
          <w:rFonts w:ascii="Times New Roman" w:hAnsi="Times New Roman" w:cs="Times New Roman"/>
          <w:sz w:val="40"/>
          <w:szCs w:val="40"/>
        </w:rPr>
        <w:t xml:space="preserve"> che dovrà considerare azioni più incisive alla luce dei nuovi limiti definiti dall</w:t>
      </w:r>
      <w:r w:rsidR="00133BB1" w:rsidRPr="008C1188">
        <w:rPr>
          <w:rFonts w:ascii="Times New Roman" w:hAnsi="Times New Roman" w:cs="Times New Roman"/>
          <w:sz w:val="40"/>
          <w:szCs w:val="40"/>
        </w:rPr>
        <w:t>e</w:t>
      </w:r>
      <w:r w:rsidR="00D95A18" w:rsidRPr="008C1188">
        <w:rPr>
          <w:rFonts w:ascii="Times New Roman" w:hAnsi="Times New Roman" w:cs="Times New Roman"/>
          <w:sz w:val="40"/>
          <w:szCs w:val="40"/>
        </w:rPr>
        <w:t xml:space="preserve"> nuov</w:t>
      </w:r>
      <w:r w:rsidR="00133BB1" w:rsidRPr="008C1188">
        <w:rPr>
          <w:rFonts w:ascii="Times New Roman" w:hAnsi="Times New Roman" w:cs="Times New Roman"/>
          <w:sz w:val="40"/>
          <w:szCs w:val="40"/>
        </w:rPr>
        <w:t>e</w:t>
      </w:r>
      <w:r w:rsidR="00D95A18" w:rsidRPr="008C1188">
        <w:rPr>
          <w:rFonts w:ascii="Times New Roman" w:hAnsi="Times New Roman" w:cs="Times New Roman"/>
          <w:sz w:val="40"/>
          <w:szCs w:val="40"/>
        </w:rPr>
        <w:t xml:space="preserve"> direttiv</w:t>
      </w:r>
      <w:r w:rsidR="00133BB1" w:rsidRPr="008C1188">
        <w:rPr>
          <w:rFonts w:ascii="Times New Roman" w:hAnsi="Times New Roman" w:cs="Times New Roman"/>
          <w:sz w:val="40"/>
          <w:szCs w:val="40"/>
        </w:rPr>
        <w:t>e</w:t>
      </w:r>
      <w:r w:rsidR="00D95A18" w:rsidRPr="008C1188">
        <w:rPr>
          <w:rFonts w:ascii="Times New Roman" w:hAnsi="Times New Roman" w:cs="Times New Roman"/>
          <w:sz w:val="40"/>
          <w:szCs w:val="40"/>
        </w:rPr>
        <w:t xml:space="preserve"> europe</w:t>
      </w:r>
      <w:r w:rsidR="00133BB1" w:rsidRPr="008C1188">
        <w:rPr>
          <w:rFonts w:ascii="Times New Roman" w:hAnsi="Times New Roman" w:cs="Times New Roman"/>
          <w:sz w:val="40"/>
          <w:szCs w:val="40"/>
        </w:rPr>
        <w:t>e</w:t>
      </w:r>
      <w:r w:rsidR="00D95A18" w:rsidRPr="008C1188">
        <w:rPr>
          <w:rFonts w:ascii="Times New Roman" w:hAnsi="Times New Roman" w:cs="Times New Roman"/>
          <w:sz w:val="40"/>
          <w:szCs w:val="40"/>
        </w:rPr>
        <w:t>.</w:t>
      </w:r>
      <w:r w:rsidRPr="008C1188">
        <w:rPr>
          <w:rFonts w:ascii="Times New Roman" w:hAnsi="Times New Roman" w:cs="Times New Roman"/>
          <w:sz w:val="40"/>
          <w:szCs w:val="40"/>
        </w:rPr>
        <w:t xml:space="preserve"> In tale ottica, sarà fondamentale il coinvolgimento delle diverse professionalità e la condivisione delle esperienze di tutto il territorio valdostano.</w:t>
      </w:r>
    </w:p>
    <w:p w14:paraId="518D6D7E" w14:textId="706382C2" w:rsidR="0091181A" w:rsidRDefault="0091181A" w:rsidP="008C1188">
      <w:pPr>
        <w:spacing w:after="0" w:line="288" w:lineRule="auto"/>
        <w:contextualSpacing/>
        <w:jc w:val="both"/>
        <w:rPr>
          <w:rFonts w:ascii="Times New Roman" w:hAnsi="Times New Roman" w:cs="Times New Roman"/>
          <w:sz w:val="40"/>
          <w:szCs w:val="40"/>
        </w:rPr>
      </w:pPr>
    </w:p>
    <w:p w14:paraId="349C31A1" w14:textId="77777777" w:rsidR="0091181A" w:rsidRDefault="0091181A" w:rsidP="008C1188">
      <w:pPr>
        <w:spacing w:after="0" w:line="288" w:lineRule="auto"/>
        <w:contextualSpacing/>
        <w:jc w:val="both"/>
        <w:rPr>
          <w:rFonts w:ascii="Times New Roman" w:hAnsi="Times New Roman" w:cs="Times New Roman"/>
          <w:sz w:val="40"/>
          <w:szCs w:val="40"/>
        </w:rPr>
      </w:pPr>
    </w:p>
    <w:p w14:paraId="042BDBC2" w14:textId="2631A727"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Relativamente al settore delle </w:t>
      </w:r>
      <w:r w:rsidRPr="008C1188">
        <w:rPr>
          <w:rFonts w:ascii="Times New Roman" w:hAnsi="Times New Roman" w:cs="Times New Roman"/>
          <w:b/>
          <w:bCs/>
          <w:sz w:val="40"/>
          <w:szCs w:val="40"/>
        </w:rPr>
        <w:t>Risorse naturali</w:t>
      </w:r>
      <w:r w:rsidRPr="008C1188">
        <w:rPr>
          <w:rFonts w:ascii="Times New Roman" w:hAnsi="Times New Roman" w:cs="Times New Roman"/>
          <w:sz w:val="40"/>
          <w:szCs w:val="40"/>
        </w:rPr>
        <w:t>, sono stati individuati due obiettivi strategici: l’approvazione del Programma forestale regionale e l’implementazione della rete escursionistica regionale. A questi obiettivi si affiancano quelli già evidenziati relativi alla tutela, alla manutenzione e alla sostenibilità del territorio al fine di arginare e prevenire gli effetti dei cambiamenti climatici. Di rilievo sarà l’attesa approvazione del nuovo “piano faunistico-venatorio regionale”. Al fine di garantirne l’efficace funzionamento, si continuerà a porre attenzione alla pianta organica del Corpo Forestale della Valle d’Aosta.</w:t>
      </w:r>
    </w:p>
    <w:p w14:paraId="59E63A9D"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219A443F" w14:textId="6728CFB8"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Nello specifico ambito</w:t>
      </w:r>
      <w:r w:rsidRPr="008C1188">
        <w:rPr>
          <w:rFonts w:ascii="Times New Roman" w:hAnsi="Times New Roman" w:cs="Times New Roman"/>
          <w:b/>
          <w:bCs/>
          <w:sz w:val="40"/>
          <w:szCs w:val="40"/>
        </w:rPr>
        <w:t xml:space="preserve"> dell’Agricoltura</w:t>
      </w:r>
      <w:r w:rsidRPr="008C1188">
        <w:rPr>
          <w:rFonts w:ascii="Times New Roman" w:hAnsi="Times New Roman" w:cs="Times New Roman"/>
          <w:sz w:val="40"/>
          <w:szCs w:val="40"/>
        </w:rPr>
        <w:t xml:space="preserve">, si evidenzia come la conclusione del Programma di sviluppo rurale 2014/2022 abbia comportato un notevole impegno tecnico e amministrativo. Al PSR si è già affiancato il CSR 2023/2027, con la prevista attivazione dei primi interventi a sostegno del settore. Altro pilastro del rilancio degli investimenti agricoli è la legge regionale 17/2016, che vedrà l’approvazione di numerosi bandi, alcuni dei quali già attivati nell’anno corrente. Nel 2025, a questi sostegni, si affiancheranno anche i bandi del GAL Valle d’Aosta. </w:t>
      </w:r>
    </w:p>
    <w:p w14:paraId="23B5A4B4"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3638E327" w14:textId="0A7C6596"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Il settore agricolo nel suo insieme sarà sostenuto anche grazie al lavoro di consulenza dei laboratori di analisi latte e del vino, con il supporto ai Consorzi di miglioramento fondiario e alle Consorterie come forma di dominio collettivo, oltre che con l’organizzazione e il sostegno di iniziative finalizzate a promuovere l’immagine e l’enogastronomia della Valle d’Aosta. </w:t>
      </w:r>
    </w:p>
    <w:p w14:paraId="6151D6F3"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3F6F26D6" w14:textId="77777777" w:rsidR="0091181A" w:rsidRPr="008C1188"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Per quanto riguarda gli enti strumentali del settore, con AREA si continueranno le attività legate all’attuazione della programmazione 2023-2027 e rimangono infine prioritarie le azioni di promozione della viticoltura eroica a livello nazionale ed internazionale, anche per il tramite delle associazioni di produttori.</w:t>
      </w:r>
    </w:p>
    <w:p w14:paraId="70E251D7" w14:textId="356AA3F6" w:rsidR="0091181A" w:rsidRDefault="0091181A" w:rsidP="008C1188">
      <w:pPr>
        <w:spacing w:after="0" w:line="288" w:lineRule="auto"/>
        <w:contextualSpacing/>
        <w:jc w:val="both"/>
        <w:rPr>
          <w:rFonts w:ascii="Times New Roman" w:hAnsi="Times New Roman" w:cs="Times New Roman"/>
          <w:sz w:val="40"/>
          <w:szCs w:val="40"/>
        </w:rPr>
      </w:pPr>
    </w:p>
    <w:p w14:paraId="5720DBC6" w14:textId="229C18BE" w:rsidR="0091181A" w:rsidRDefault="0091181A" w:rsidP="008C1188">
      <w:pPr>
        <w:spacing w:after="0" w:line="288" w:lineRule="auto"/>
        <w:contextualSpacing/>
        <w:jc w:val="both"/>
        <w:rPr>
          <w:rFonts w:ascii="Times New Roman" w:hAnsi="Times New Roman" w:cs="Times New Roman"/>
          <w:sz w:val="40"/>
          <w:szCs w:val="40"/>
        </w:rPr>
      </w:pPr>
    </w:p>
    <w:p w14:paraId="6B4619E5" w14:textId="77777777"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Il ragionamento ad ampio raggio su accessibilità, sostenibilità e territorio si traduce anche nell’attenzione per l’accesso alle risorse europee e statali, fondamentali per arricchire le opportunità di crescita, oltre che per l’aspetto relazionale di confronto e di collaborazione socio-economica con i territori di confine. </w:t>
      </w:r>
    </w:p>
    <w:p w14:paraId="20DFB8E4" w14:textId="77777777" w:rsidR="0091181A" w:rsidRDefault="0091181A" w:rsidP="0091181A">
      <w:pPr>
        <w:spacing w:after="0" w:line="288" w:lineRule="auto"/>
        <w:contextualSpacing/>
        <w:jc w:val="both"/>
        <w:rPr>
          <w:rFonts w:ascii="Times New Roman" w:hAnsi="Times New Roman" w:cs="Times New Roman"/>
          <w:sz w:val="40"/>
          <w:szCs w:val="40"/>
        </w:rPr>
      </w:pPr>
    </w:p>
    <w:p w14:paraId="7FBB7E68" w14:textId="41C4B3E8"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Nella </w:t>
      </w:r>
      <w:r w:rsidRPr="0091181A">
        <w:rPr>
          <w:rFonts w:ascii="Times New Roman" w:hAnsi="Times New Roman" w:cs="Times New Roman"/>
          <w:b/>
          <w:bCs/>
          <w:sz w:val="40"/>
          <w:szCs w:val="40"/>
        </w:rPr>
        <w:t>sezione dedicata agli Affari europei</w:t>
      </w:r>
      <w:r w:rsidRPr="008C1188">
        <w:rPr>
          <w:rFonts w:ascii="Times New Roman" w:hAnsi="Times New Roman" w:cs="Times New Roman"/>
          <w:sz w:val="40"/>
          <w:szCs w:val="40"/>
        </w:rPr>
        <w:t xml:space="preserve"> del DEFR, ampio spazio è dedicato ai Programmi a cofinanziamento europeo, statale e regionale, le cui cornici strategiche sono individuate a livello nazionale, nell’Accordo di Partenariato dell’Italia 2021/27 e, a livello regionale, nel Quadro strategico regionale di Sviluppo sostenibile 2030, che individuano gli indirizzi e la governance per l’attuazione della Politica di coesione europea. Il Fondo statale per lo sviluppo e la coesione, insieme ai Fondi europei, rappresenta lo strumento finanziario principale attraverso il quale vengono attuate le politiche per lo sviluppo della coesione economica, sociale e territoriale e la rimozione degli squilibri economici e sociali.</w:t>
      </w:r>
    </w:p>
    <w:p w14:paraId="3236A426"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56ED6067" w14:textId="7544099D"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A livello locale, rivestono notevole importanza il Programma regionale FESR 2021/27 e il Programma regionale FSE+ 2021/27, approvati nel 2022 e attuati fino al 31 dicembre 2029. Contribuiscono, inoltre, allo sviluppo del territorio regionale i Programmi di Cooperazione territoriale europea: nel ciclo di programmazione 2021/27 la Regione </w:t>
      </w:r>
      <w:r w:rsidRPr="008C1188">
        <w:rPr>
          <w:rFonts w:ascii="Times New Roman" w:hAnsi="Times New Roman" w:cs="Times New Roman"/>
          <w:sz w:val="40"/>
          <w:szCs w:val="40"/>
        </w:rPr>
        <w:lastRenderedPageBreak/>
        <w:t>Valle d’Aosta è infatti interessata da 6 Programmi di Cooperazione territoriale europea (2 Programmi di Cooperazione transfrontaliera “Italia-Francia ‘ALCOTRA’” e “Italia-Svizzera”, 3 Programmi di Cooperazione transnazionale “Spazio alpino”, “Europa centrale” e “Euro-</w:t>
      </w:r>
      <w:proofErr w:type="spellStart"/>
      <w:r w:rsidRPr="008C1188">
        <w:rPr>
          <w:rFonts w:ascii="Times New Roman" w:hAnsi="Times New Roman" w:cs="Times New Roman"/>
          <w:sz w:val="40"/>
          <w:szCs w:val="40"/>
        </w:rPr>
        <w:t>Med</w:t>
      </w:r>
      <w:proofErr w:type="spellEnd"/>
      <w:r w:rsidRPr="008C1188">
        <w:rPr>
          <w:rFonts w:ascii="Times New Roman" w:hAnsi="Times New Roman" w:cs="Times New Roman"/>
          <w:sz w:val="40"/>
          <w:szCs w:val="40"/>
        </w:rPr>
        <w:t xml:space="preserve">” e il Programma di Cooperazione interregionale “Interreg Europe”). </w:t>
      </w:r>
    </w:p>
    <w:p w14:paraId="4E31B4A2"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6B983CBC" w14:textId="63EB9A91"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Il DEFR illustra poi le Strategie d’Area insistenti sul territorio regionale in attuazione della Strategia nazionale per le Aree interne, mentre per quanto concerne la Politica nazionale per la montagna, dà conto degli interventi finanziati dal Fondo per lo sviluppo delle montagne italiane (FOSMIT) e delle attività da porre in essere fino al 2027.</w:t>
      </w:r>
    </w:p>
    <w:p w14:paraId="6095A635"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4A5EF906" w14:textId="77777777" w:rsidR="0091181A" w:rsidRPr="008C1188"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Opportuno spazio è stato dedicato al Piano Sviluppo e Coesione (PSC) della Regione autonoma Valle d’Aosta, oltre che all’attuazione, a livello regionale, del Piano nazionale di Ripresa e Resilienza (PNRR) e del Piano nazionale degli investimenti complementari (PNC), in particolare con il riferimento ai progetti “Task force digitalizzazione, monitoraggio e performance” (c.d. Task force 1000 esperti) e “‘Bandiera’ - Potenziamento della capacità digitale della Pubblica Amministrazione regionale” del PNRR. </w:t>
      </w:r>
    </w:p>
    <w:p w14:paraId="3884376B" w14:textId="77777777" w:rsidR="0091181A" w:rsidRPr="008C1188" w:rsidRDefault="0091181A" w:rsidP="0091181A">
      <w:pPr>
        <w:spacing w:after="0" w:line="288" w:lineRule="auto"/>
        <w:contextualSpacing/>
        <w:jc w:val="both"/>
        <w:rPr>
          <w:rFonts w:ascii="Times New Roman" w:hAnsi="Times New Roman" w:cs="Times New Roman"/>
          <w:sz w:val="40"/>
          <w:szCs w:val="40"/>
        </w:rPr>
      </w:pPr>
    </w:p>
    <w:p w14:paraId="3094878A" w14:textId="77777777" w:rsidR="00DF11C3" w:rsidRPr="00DF11C3" w:rsidRDefault="00DF11C3" w:rsidP="00DF11C3">
      <w:pPr>
        <w:spacing w:line="288" w:lineRule="auto"/>
        <w:jc w:val="both"/>
        <w:rPr>
          <w:rFonts w:ascii="Times New Roman" w:hAnsi="Times New Roman" w:cs="Times New Roman"/>
          <w:sz w:val="40"/>
          <w:szCs w:val="40"/>
          <w:lang w:val="fr-FR"/>
        </w:rPr>
      </w:pPr>
      <w:r w:rsidRPr="00DF11C3">
        <w:rPr>
          <w:rFonts w:ascii="Times New Roman" w:hAnsi="Times New Roman" w:cs="Times New Roman"/>
          <w:sz w:val="40"/>
          <w:szCs w:val="40"/>
          <w:lang w:val="fr-FR"/>
        </w:rPr>
        <w:lastRenderedPageBreak/>
        <w:t>Pour ce qui est des « </w:t>
      </w:r>
      <w:r w:rsidRPr="00DF11C3">
        <w:rPr>
          <w:rFonts w:ascii="Times New Roman" w:hAnsi="Times New Roman" w:cs="Times New Roman"/>
          <w:b/>
          <w:bCs/>
          <w:sz w:val="40"/>
          <w:szCs w:val="40"/>
          <w:lang w:val="fr-FR"/>
        </w:rPr>
        <w:t>Rapports avec les autres minorités linguistiques</w:t>
      </w:r>
      <w:r w:rsidRPr="00DF11C3">
        <w:rPr>
          <w:rFonts w:ascii="Times New Roman" w:hAnsi="Times New Roman" w:cs="Times New Roman"/>
          <w:sz w:val="40"/>
          <w:szCs w:val="40"/>
          <w:lang w:val="fr-FR"/>
        </w:rPr>
        <w:t> », l’objectif étant le lancement d’un parcours qui définisse mieux certains des aspects de la sauvegarde des spécificités linguistiques et de leur emploi, le DEFR prévoit l’organisation, à l’occasion du 25</w:t>
      </w:r>
      <w:r w:rsidRPr="00DF11C3">
        <w:rPr>
          <w:rFonts w:ascii="Times New Roman" w:hAnsi="Times New Roman" w:cs="Times New Roman"/>
          <w:sz w:val="40"/>
          <w:szCs w:val="40"/>
          <w:vertAlign w:val="superscript"/>
          <w:lang w:val="fr-FR"/>
        </w:rPr>
        <w:t>e</w:t>
      </w:r>
      <w:r w:rsidRPr="00DF11C3">
        <w:rPr>
          <w:rFonts w:ascii="Times New Roman" w:hAnsi="Times New Roman" w:cs="Times New Roman"/>
          <w:sz w:val="40"/>
          <w:szCs w:val="40"/>
          <w:lang w:val="fr-FR"/>
        </w:rPr>
        <w:t xml:space="preserve"> anniversaire de la promulgation de la loi n° 482/1999 (Protection des minorités linguistiques) d’une initiative destinée à appréhender la préservation de l’aspect linguistique dans un cadre plus vaste de sauvegarde et d’innovation de la culture alpine.</w:t>
      </w:r>
    </w:p>
    <w:p w14:paraId="4D208915" w14:textId="77777777" w:rsidR="00DF11C3" w:rsidRPr="00DF11C3" w:rsidRDefault="00DF11C3" w:rsidP="00DF11C3">
      <w:pPr>
        <w:spacing w:line="288" w:lineRule="auto"/>
        <w:jc w:val="both"/>
        <w:rPr>
          <w:rFonts w:ascii="Times New Roman" w:hAnsi="Times New Roman" w:cs="Times New Roman"/>
          <w:sz w:val="40"/>
          <w:szCs w:val="40"/>
          <w:lang w:val="fr-FR"/>
        </w:rPr>
      </w:pPr>
    </w:p>
    <w:p w14:paraId="7437BD32" w14:textId="77777777" w:rsidR="00DF11C3" w:rsidRPr="00DF11C3" w:rsidRDefault="00DF11C3" w:rsidP="00DF11C3">
      <w:pPr>
        <w:spacing w:line="288" w:lineRule="auto"/>
        <w:jc w:val="both"/>
        <w:rPr>
          <w:rFonts w:ascii="Times New Roman" w:hAnsi="Times New Roman" w:cs="Times New Roman"/>
          <w:sz w:val="40"/>
          <w:szCs w:val="40"/>
          <w:lang w:val="fr-FR"/>
        </w:rPr>
      </w:pPr>
      <w:r w:rsidRPr="00DF11C3">
        <w:rPr>
          <w:rFonts w:ascii="Times New Roman" w:hAnsi="Times New Roman" w:cs="Times New Roman"/>
          <w:sz w:val="40"/>
          <w:szCs w:val="40"/>
          <w:lang w:val="fr-FR"/>
        </w:rPr>
        <w:t xml:space="preserve">C’est dans ce but que la Région entend également soutenir activement les activités proposées par l’Association Internationale des Régions Francophones (AIRF), en encourageant les initiatives locales en faveur de la protection des minorités linguistiques et en créant les conditions pour un débat de plus en plus profond avec les autres minorités linguistiques et les associations qui œuvrent pour la sauvegarde desdites minorités, tant à l’échelon national qu’international. </w:t>
      </w:r>
    </w:p>
    <w:p w14:paraId="365F9644" w14:textId="77777777" w:rsidR="0091181A" w:rsidRPr="00DF11C3" w:rsidRDefault="0091181A" w:rsidP="0091181A">
      <w:pPr>
        <w:spacing w:after="0" w:line="288" w:lineRule="auto"/>
        <w:contextualSpacing/>
        <w:jc w:val="both"/>
        <w:rPr>
          <w:rFonts w:ascii="Times New Roman" w:hAnsi="Times New Roman" w:cs="Times New Roman"/>
          <w:sz w:val="40"/>
          <w:szCs w:val="40"/>
          <w:lang w:val="fr-FR"/>
        </w:rPr>
      </w:pPr>
    </w:p>
    <w:p w14:paraId="414F1B4D" w14:textId="681630EB" w:rsidR="0091181A" w:rsidRPr="008C1188"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Nel </w:t>
      </w:r>
      <w:r w:rsidRPr="008C1188">
        <w:rPr>
          <w:rFonts w:ascii="Times New Roman" w:hAnsi="Times New Roman" w:cs="Times New Roman"/>
          <w:b/>
          <w:bCs/>
          <w:sz w:val="40"/>
          <w:szCs w:val="40"/>
        </w:rPr>
        <w:t>settore dell’innovazione e dello sviluppo dell’Agenda Digitale</w:t>
      </w:r>
      <w:r w:rsidRPr="008C1188">
        <w:rPr>
          <w:rFonts w:ascii="Times New Roman" w:hAnsi="Times New Roman" w:cs="Times New Roman"/>
          <w:sz w:val="40"/>
          <w:szCs w:val="40"/>
        </w:rPr>
        <w:t xml:space="preserve"> in Valle d’Aosta, la strategia regionale contenuta nel documento di programmazione ICT (Piano Pluriennale 2024/2026) recentemente approvato dal Consiglio regionale si basa su un modello che poggia su tre componenti fondamentali:</w:t>
      </w:r>
    </w:p>
    <w:p w14:paraId="12D73330" w14:textId="77777777" w:rsidR="0091181A" w:rsidRPr="008C1188" w:rsidRDefault="0091181A" w:rsidP="0091181A">
      <w:pPr>
        <w:pStyle w:val="Paragrafoelenco"/>
        <w:numPr>
          <w:ilvl w:val="0"/>
          <w:numId w:val="22"/>
        </w:numPr>
        <w:spacing w:after="0" w:line="288" w:lineRule="auto"/>
        <w:jc w:val="both"/>
        <w:rPr>
          <w:rFonts w:ascii="Times New Roman" w:hAnsi="Times New Roman" w:cs="Times New Roman"/>
          <w:sz w:val="40"/>
          <w:szCs w:val="40"/>
        </w:rPr>
      </w:pPr>
      <w:r w:rsidRPr="008C1188">
        <w:rPr>
          <w:rFonts w:ascii="Times New Roman" w:hAnsi="Times New Roman" w:cs="Times New Roman"/>
          <w:sz w:val="40"/>
          <w:szCs w:val="40"/>
        </w:rPr>
        <w:lastRenderedPageBreak/>
        <w:t>i servizi per cittadini, imprese ed Enti locali, da rendere sempre più accessibili, efficacemente fruibili per via digitale e concepiti secondo una logica incentrata sui bisogni dell’utente;</w:t>
      </w:r>
    </w:p>
    <w:p w14:paraId="64D38696" w14:textId="77777777" w:rsidR="0091181A" w:rsidRPr="008C1188" w:rsidRDefault="0091181A" w:rsidP="0091181A">
      <w:pPr>
        <w:pStyle w:val="Paragrafoelenco"/>
        <w:numPr>
          <w:ilvl w:val="0"/>
          <w:numId w:val="22"/>
        </w:numPr>
        <w:spacing w:after="0" w:line="288" w:lineRule="auto"/>
        <w:jc w:val="both"/>
        <w:rPr>
          <w:rFonts w:ascii="Times New Roman" w:hAnsi="Times New Roman" w:cs="Times New Roman"/>
          <w:sz w:val="40"/>
          <w:szCs w:val="40"/>
        </w:rPr>
      </w:pPr>
      <w:r w:rsidRPr="008C1188">
        <w:rPr>
          <w:rFonts w:ascii="Times New Roman" w:hAnsi="Times New Roman" w:cs="Times New Roman"/>
          <w:sz w:val="40"/>
          <w:szCs w:val="40"/>
        </w:rPr>
        <w:t>i dati, imprescindibile elemento di trasparenza dell’Amministrazione, ma anche fonte di valore per il territorio e premessa per l’adozione di politiche consapevoli e informate;</w:t>
      </w:r>
    </w:p>
    <w:p w14:paraId="21DF13A4" w14:textId="77777777" w:rsidR="0091181A" w:rsidRPr="008C1188" w:rsidRDefault="0091181A" w:rsidP="0091181A">
      <w:pPr>
        <w:pStyle w:val="Paragrafoelenco"/>
        <w:numPr>
          <w:ilvl w:val="0"/>
          <w:numId w:val="22"/>
        </w:numPr>
        <w:spacing w:after="0" w:line="288" w:lineRule="auto"/>
        <w:jc w:val="both"/>
        <w:rPr>
          <w:rFonts w:ascii="Times New Roman" w:hAnsi="Times New Roman" w:cs="Times New Roman"/>
          <w:sz w:val="40"/>
          <w:szCs w:val="40"/>
        </w:rPr>
      </w:pPr>
      <w:r w:rsidRPr="008C1188">
        <w:rPr>
          <w:rFonts w:ascii="Times New Roman" w:hAnsi="Times New Roman" w:cs="Times New Roman"/>
          <w:sz w:val="40"/>
          <w:szCs w:val="40"/>
        </w:rPr>
        <w:t>le competenze, sia di base che specialistiche, necessarie da un lato quale precondizione per godere dei diritti di cittadinanza digitale e dall’altro come volano per la crescita e l‘innovazione.</w:t>
      </w:r>
    </w:p>
    <w:p w14:paraId="7C9F2631" w14:textId="1BB00F9B" w:rsidR="0091181A" w:rsidRDefault="0091181A" w:rsidP="008C1188">
      <w:pPr>
        <w:spacing w:after="0" w:line="288" w:lineRule="auto"/>
        <w:contextualSpacing/>
        <w:jc w:val="both"/>
        <w:rPr>
          <w:rFonts w:ascii="Times New Roman" w:hAnsi="Times New Roman" w:cs="Times New Roman"/>
          <w:sz w:val="40"/>
          <w:szCs w:val="40"/>
        </w:rPr>
      </w:pPr>
    </w:p>
    <w:p w14:paraId="4C53734B" w14:textId="387AD0C0" w:rsidR="0091181A" w:rsidRDefault="0091181A" w:rsidP="008C1188">
      <w:pPr>
        <w:spacing w:after="0" w:line="288" w:lineRule="auto"/>
        <w:contextualSpacing/>
        <w:jc w:val="both"/>
        <w:rPr>
          <w:rFonts w:ascii="Times New Roman" w:hAnsi="Times New Roman" w:cs="Times New Roman"/>
          <w:sz w:val="40"/>
          <w:szCs w:val="40"/>
        </w:rPr>
      </w:pPr>
    </w:p>
    <w:p w14:paraId="5B91D8C1" w14:textId="21D1AC99"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In materia di </w:t>
      </w:r>
      <w:r w:rsidRPr="008C1188">
        <w:rPr>
          <w:rFonts w:ascii="Times New Roman" w:hAnsi="Times New Roman" w:cs="Times New Roman"/>
          <w:b/>
          <w:bCs/>
          <w:sz w:val="40"/>
          <w:szCs w:val="40"/>
        </w:rPr>
        <w:t xml:space="preserve">Sviluppo Economico, Formazione e Lavoro, Trasporti e Mobilità Sostenibile </w:t>
      </w:r>
      <w:r w:rsidRPr="008C1188">
        <w:rPr>
          <w:rFonts w:ascii="Times New Roman" w:hAnsi="Times New Roman" w:cs="Times New Roman"/>
          <w:sz w:val="40"/>
          <w:szCs w:val="40"/>
        </w:rPr>
        <w:t>le linee strategiche per il triennio 2025-2027 sono state definire con l'obiettivo di promuovere uno sviluppo sostenibile del tessuto economico e sociale valdostano, esattamente in linea con il principio di sostenibilità che caratterizza l’intero DEFR in tutte le sue declinazioni.</w:t>
      </w:r>
    </w:p>
    <w:p w14:paraId="03D73111" w14:textId="77777777" w:rsidR="006F2274" w:rsidRPr="008C1188" w:rsidRDefault="006F2274" w:rsidP="0091181A">
      <w:pPr>
        <w:spacing w:after="0" w:line="288" w:lineRule="auto"/>
        <w:contextualSpacing/>
        <w:jc w:val="both"/>
        <w:rPr>
          <w:rFonts w:ascii="Times New Roman" w:hAnsi="Times New Roman" w:cs="Times New Roman"/>
          <w:sz w:val="40"/>
          <w:szCs w:val="40"/>
        </w:rPr>
      </w:pPr>
    </w:p>
    <w:p w14:paraId="05353963" w14:textId="77777777" w:rsidR="0091181A" w:rsidRPr="008C1188"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L’attenzione è rivolta a rafforzare l'occupazione, in particolare per giovani, donne e persone con disabilità e a migliorare l’inclusione lavorativa e formativa, agevolando inoltre l’ingresso dei giovani nel mondo del lavoro.</w:t>
      </w:r>
    </w:p>
    <w:p w14:paraId="26CFE176" w14:textId="77777777" w:rsidR="006F2274"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Supportare la crescita regionale con misure a favore delle imprese, in particolare quelle giovanili e femminili continua ad essere una priorità anche in questa programmazione. </w:t>
      </w:r>
    </w:p>
    <w:p w14:paraId="65E73333" w14:textId="71821797" w:rsidR="0091181A"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Si sostiene inoltre la transizione verde e digitale, con interventi per l’efficienza energetica e il consolidamento di una Zona Franca per la ricerca e lo sviluppo. L’artigianato di tradizione viene valorizzato incentivando la formazione dei giovani professionisti e potenziando le strategie di marketing.</w:t>
      </w:r>
    </w:p>
    <w:p w14:paraId="2E869AF2" w14:textId="77777777" w:rsidR="006F2274" w:rsidRPr="008C1188" w:rsidRDefault="006F2274" w:rsidP="0091181A">
      <w:pPr>
        <w:spacing w:after="0" w:line="288" w:lineRule="auto"/>
        <w:contextualSpacing/>
        <w:jc w:val="both"/>
        <w:rPr>
          <w:rFonts w:ascii="Times New Roman" w:hAnsi="Times New Roman" w:cs="Times New Roman"/>
          <w:sz w:val="40"/>
          <w:szCs w:val="40"/>
        </w:rPr>
      </w:pPr>
    </w:p>
    <w:p w14:paraId="71A41A1E" w14:textId="77777777" w:rsidR="0091181A" w:rsidRPr="008C1188" w:rsidRDefault="0091181A" w:rsidP="0091181A">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L’elettrificazione della linea ferroviaria Aosta-Ivrea e il miglioramento delle interconnessioni tra trasporti su ferro e gomma, incentivando l’uso dei mezzi pubblici, saranno tra le priorità dell’assessorato competente per quanto riguarda i trasporti. Sono previsti inoltre investimenti per migliorare infrastrutture come la stazione aeroportuale e gli impianti a fune, promuovendo una </w:t>
      </w:r>
      <w:r w:rsidRPr="008C1188">
        <w:rPr>
          <w:rFonts w:ascii="Times New Roman" w:hAnsi="Times New Roman" w:cs="Times New Roman"/>
          <w:b/>
          <w:bCs/>
          <w:sz w:val="40"/>
          <w:szCs w:val="40"/>
        </w:rPr>
        <w:t>mobilità sostenibile, attiva e sicura</w:t>
      </w:r>
      <w:r w:rsidRPr="008C1188">
        <w:rPr>
          <w:rFonts w:ascii="Times New Roman" w:hAnsi="Times New Roman" w:cs="Times New Roman"/>
          <w:sz w:val="40"/>
          <w:szCs w:val="40"/>
        </w:rPr>
        <w:t>.</w:t>
      </w:r>
    </w:p>
    <w:p w14:paraId="54E584FE" w14:textId="7CF30D0D" w:rsidR="0091181A" w:rsidRDefault="0091181A" w:rsidP="008C1188">
      <w:pPr>
        <w:spacing w:after="0" w:line="288" w:lineRule="auto"/>
        <w:contextualSpacing/>
        <w:jc w:val="both"/>
        <w:rPr>
          <w:rFonts w:ascii="Times New Roman" w:hAnsi="Times New Roman" w:cs="Times New Roman"/>
          <w:sz w:val="40"/>
          <w:szCs w:val="40"/>
        </w:rPr>
      </w:pPr>
    </w:p>
    <w:p w14:paraId="1348B572"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5CE19F7F" w14:textId="10092B09" w:rsidR="008A6102" w:rsidRDefault="008A6102"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Per quanto attiene all’</w:t>
      </w:r>
      <w:r w:rsidRPr="008C1188">
        <w:rPr>
          <w:rFonts w:ascii="Times New Roman" w:hAnsi="Times New Roman" w:cs="Times New Roman"/>
          <w:b/>
          <w:bCs/>
          <w:sz w:val="40"/>
          <w:szCs w:val="40"/>
        </w:rPr>
        <w:t>ambito della sanità</w:t>
      </w:r>
      <w:r w:rsidRPr="008C1188">
        <w:rPr>
          <w:rFonts w:ascii="Times New Roman" w:hAnsi="Times New Roman" w:cs="Times New Roman"/>
          <w:sz w:val="40"/>
          <w:szCs w:val="40"/>
        </w:rPr>
        <w:t xml:space="preserve">, i punti salienti in applicazione dei contenuti del Piano regionale per la Salute e il Benessere Sociale (PSBS) 2022-2025 e dei documenti di programmazione regionale, sono rappresentati dall’approvazione del progetto esecutivo di variante della fase 3 del Nuovo Ospedale regionale, con avvio delle procedure di gara per l’affidamento dei lavori, dalla </w:t>
      </w:r>
      <w:r w:rsidRPr="008C1188">
        <w:rPr>
          <w:rFonts w:ascii="Times New Roman" w:hAnsi="Times New Roman" w:cs="Times New Roman"/>
          <w:sz w:val="40"/>
          <w:szCs w:val="40"/>
        </w:rPr>
        <w:lastRenderedPageBreak/>
        <w:t>prosecuzione della riorganizzazione e del potenziamento dei servizi territoriali e dagli interventi di adeguamento e ammodernamento delle strutture residenziali (Microcomunità) sul territorio.</w:t>
      </w:r>
    </w:p>
    <w:p w14:paraId="4AC4B077"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45BACED2" w14:textId="69B1F739" w:rsidR="008A6102" w:rsidRPr="008C1188" w:rsidRDefault="008A6102"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In </w:t>
      </w:r>
      <w:r w:rsidRPr="008C1188">
        <w:rPr>
          <w:rFonts w:ascii="Times New Roman" w:hAnsi="Times New Roman" w:cs="Times New Roman"/>
          <w:b/>
          <w:bCs/>
          <w:sz w:val="40"/>
          <w:szCs w:val="40"/>
        </w:rPr>
        <w:t>ambito sociale</w:t>
      </w:r>
      <w:r w:rsidRPr="008C1188">
        <w:rPr>
          <w:rFonts w:ascii="Times New Roman" w:hAnsi="Times New Roman" w:cs="Times New Roman"/>
          <w:sz w:val="40"/>
          <w:szCs w:val="40"/>
        </w:rPr>
        <w:t>, proseguiranno i lavori di revisione della legge regionale n. 3/2013 per l’edilizia residenziale pubblica e il disagio abitativo</w:t>
      </w:r>
      <w:r w:rsidR="008F7BA0" w:rsidRPr="008C1188">
        <w:rPr>
          <w:rFonts w:ascii="Times New Roman" w:hAnsi="Times New Roman" w:cs="Times New Roman"/>
          <w:sz w:val="40"/>
          <w:szCs w:val="40"/>
        </w:rPr>
        <w:t xml:space="preserve">, tematica che impegna in maniera sempre più marcata l’attività di gestione dell’Amministrazione, </w:t>
      </w:r>
      <w:r w:rsidRPr="008C1188">
        <w:rPr>
          <w:rFonts w:ascii="Times New Roman" w:hAnsi="Times New Roman" w:cs="Times New Roman"/>
          <w:sz w:val="40"/>
          <w:szCs w:val="40"/>
        </w:rPr>
        <w:t>e sarà definita la bozza della nuova legge regionale in materia di Terzo settore</w:t>
      </w:r>
      <w:r w:rsidR="008F7BA0" w:rsidRPr="008C1188">
        <w:rPr>
          <w:rFonts w:ascii="Times New Roman" w:hAnsi="Times New Roman" w:cs="Times New Roman"/>
          <w:sz w:val="40"/>
          <w:szCs w:val="40"/>
        </w:rPr>
        <w:t>, n</w:t>
      </w:r>
      <w:r w:rsidRPr="008C1188">
        <w:rPr>
          <w:rFonts w:ascii="Times New Roman" w:hAnsi="Times New Roman" w:cs="Times New Roman"/>
          <w:sz w:val="40"/>
          <w:szCs w:val="40"/>
        </w:rPr>
        <w:t xml:space="preserve">el contesto di un ammodernamento e di una sanità sempre più ancorata al territorio, </w:t>
      </w:r>
      <w:r w:rsidR="008B338F" w:rsidRPr="008C1188">
        <w:rPr>
          <w:rFonts w:ascii="Times New Roman" w:hAnsi="Times New Roman" w:cs="Times New Roman"/>
          <w:sz w:val="40"/>
          <w:szCs w:val="40"/>
        </w:rPr>
        <w:t xml:space="preserve">sempre con attenzione alla sostenibilità degli interventi, </w:t>
      </w:r>
      <w:r w:rsidR="008F7BA0" w:rsidRPr="008C1188">
        <w:rPr>
          <w:rFonts w:ascii="Times New Roman" w:hAnsi="Times New Roman" w:cs="Times New Roman"/>
          <w:sz w:val="40"/>
          <w:szCs w:val="40"/>
        </w:rPr>
        <w:t>anche nell’ottica</w:t>
      </w:r>
      <w:r w:rsidRPr="008C1188">
        <w:rPr>
          <w:rFonts w:ascii="Times New Roman" w:hAnsi="Times New Roman" w:cs="Times New Roman"/>
          <w:sz w:val="40"/>
          <w:szCs w:val="40"/>
        </w:rPr>
        <w:t xml:space="preserve"> di avvicinare </w:t>
      </w:r>
      <w:r w:rsidR="008F7BA0" w:rsidRPr="008C1188">
        <w:rPr>
          <w:rFonts w:ascii="Times New Roman" w:hAnsi="Times New Roman" w:cs="Times New Roman"/>
          <w:sz w:val="40"/>
          <w:szCs w:val="40"/>
        </w:rPr>
        <w:t xml:space="preserve">maggiormente </w:t>
      </w:r>
      <w:r w:rsidRPr="008C1188">
        <w:rPr>
          <w:rFonts w:ascii="Times New Roman" w:hAnsi="Times New Roman" w:cs="Times New Roman"/>
          <w:sz w:val="40"/>
          <w:szCs w:val="40"/>
        </w:rPr>
        <w:t>i servizi all’utenza</w:t>
      </w:r>
      <w:r w:rsidR="008F7BA0" w:rsidRPr="008C1188">
        <w:rPr>
          <w:rFonts w:ascii="Times New Roman" w:hAnsi="Times New Roman" w:cs="Times New Roman"/>
          <w:sz w:val="40"/>
          <w:szCs w:val="40"/>
        </w:rPr>
        <w:t xml:space="preserve">. </w:t>
      </w:r>
    </w:p>
    <w:p w14:paraId="7F71CD78" w14:textId="6765847E" w:rsidR="00893923" w:rsidRDefault="00893923" w:rsidP="008C1188">
      <w:pPr>
        <w:spacing w:after="0" w:line="288" w:lineRule="auto"/>
        <w:contextualSpacing/>
        <w:jc w:val="both"/>
        <w:rPr>
          <w:rFonts w:ascii="Times New Roman" w:hAnsi="Times New Roman" w:cs="Times New Roman"/>
          <w:sz w:val="40"/>
          <w:szCs w:val="40"/>
        </w:rPr>
      </w:pPr>
    </w:p>
    <w:p w14:paraId="3C98CAD0"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00E4C748" w14:textId="3BA5CE4E" w:rsidR="00893923" w:rsidRPr="008C1188" w:rsidRDefault="00893923"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Nel </w:t>
      </w:r>
      <w:r w:rsidRPr="008C1188">
        <w:rPr>
          <w:rFonts w:ascii="Times New Roman" w:hAnsi="Times New Roman" w:cs="Times New Roman"/>
          <w:b/>
          <w:bCs/>
          <w:sz w:val="40"/>
          <w:szCs w:val="40"/>
        </w:rPr>
        <w:t>settore turistico</w:t>
      </w:r>
      <w:r w:rsidRPr="008C1188">
        <w:rPr>
          <w:rFonts w:ascii="Times New Roman" w:hAnsi="Times New Roman" w:cs="Times New Roman"/>
          <w:sz w:val="40"/>
          <w:szCs w:val="40"/>
        </w:rPr>
        <w:t xml:space="preserve"> la priorità è l’elaborazione</w:t>
      </w:r>
      <w:r w:rsidR="008E4429" w:rsidRPr="008C1188">
        <w:rPr>
          <w:rFonts w:ascii="Times New Roman" w:hAnsi="Times New Roman" w:cs="Times New Roman"/>
          <w:sz w:val="40"/>
          <w:szCs w:val="40"/>
        </w:rPr>
        <w:t>, entro il secondo semestre del prossimo anno,</w:t>
      </w:r>
      <w:r w:rsidRPr="008C1188">
        <w:rPr>
          <w:rFonts w:ascii="Times New Roman" w:hAnsi="Times New Roman" w:cs="Times New Roman"/>
          <w:sz w:val="40"/>
          <w:szCs w:val="40"/>
        </w:rPr>
        <w:t xml:space="preserve"> di un Piano di marketing strategico regionale, indispensabile atto di programmazione pluriennale per la promozione turistica </w:t>
      </w:r>
      <w:r w:rsidR="008E4429" w:rsidRPr="008C1188">
        <w:rPr>
          <w:rFonts w:ascii="Times New Roman" w:hAnsi="Times New Roman" w:cs="Times New Roman"/>
          <w:sz w:val="40"/>
          <w:szCs w:val="40"/>
        </w:rPr>
        <w:t>che consentirà una visione strategica, sostenibile e condivisa del prodotto turistico che la Valle d’Aosta rappresenta; particolare attenzione sarà rivolta in tal senso alla destagionalizzazione, processo essenziale per uno sviluppo del sistema turistico regionale, e allo sviluppo di un turismo sempre più sostenibile e inclusivo</w:t>
      </w:r>
      <w:r w:rsidRPr="008C1188">
        <w:rPr>
          <w:rFonts w:ascii="Times New Roman" w:hAnsi="Times New Roman" w:cs="Times New Roman"/>
          <w:sz w:val="40"/>
          <w:szCs w:val="40"/>
        </w:rPr>
        <w:t>.</w:t>
      </w:r>
    </w:p>
    <w:p w14:paraId="63BDC27C" w14:textId="76B2A7E8" w:rsidR="00893923" w:rsidRDefault="00893923"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Grazie all’avvenuta registrazione del marchio promozionale turistico “Cuore”, verrà </w:t>
      </w:r>
      <w:r w:rsidR="008E4429" w:rsidRPr="008C1188">
        <w:rPr>
          <w:rFonts w:ascii="Times New Roman" w:hAnsi="Times New Roman" w:cs="Times New Roman"/>
          <w:sz w:val="40"/>
          <w:szCs w:val="40"/>
        </w:rPr>
        <w:t xml:space="preserve">inoltre </w:t>
      </w:r>
      <w:r w:rsidRPr="008C1188">
        <w:rPr>
          <w:rFonts w:ascii="Times New Roman" w:hAnsi="Times New Roman" w:cs="Times New Roman"/>
          <w:sz w:val="40"/>
          <w:szCs w:val="40"/>
        </w:rPr>
        <w:t>avviato un confronto con tutte le strutture regionali, enti e portatori di interesse per intraprendere un percorso finalizzato al progetto “Marchio ombrello” regionale.</w:t>
      </w:r>
    </w:p>
    <w:p w14:paraId="3EE077F3"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4B46CE80" w14:textId="4CA95CC3" w:rsidR="00893923" w:rsidRDefault="00893923"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Per le professioni turistiche verrà perfezionato l’</w:t>
      </w:r>
      <w:r w:rsidR="008E4429" w:rsidRPr="008C1188">
        <w:rPr>
          <w:rFonts w:ascii="Times New Roman" w:hAnsi="Times New Roman" w:cs="Times New Roman"/>
          <w:sz w:val="40"/>
          <w:szCs w:val="40"/>
        </w:rPr>
        <w:t>i</w:t>
      </w:r>
      <w:r w:rsidRPr="008C1188">
        <w:rPr>
          <w:rFonts w:ascii="Times New Roman" w:hAnsi="Times New Roman" w:cs="Times New Roman"/>
          <w:sz w:val="40"/>
          <w:szCs w:val="40"/>
        </w:rPr>
        <w:t>ter istitutivo della figura dell’Accompagnatore di Media Montagna (AMM) e verranno realizzate delle azioni volte al rafforzamento dell’attività delle Guide alpine e dei Maestri di Sci. Proseguirà pertanto il supporto per una sempre maggiore azione sinergica tra le due professioni anche attraverso la realizzazione di una comune sede denominata “Maison de la Montagne”.</w:t>
      </w:r>
    </w:p>
    <w:p w14:paraId="18587E75"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794ED1D3" w14:textId="15F80B46" w:rsidR="00893923" w:rsidRDefault="008E4429"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I</w:t>
      </w:r>
      <w:r w:rsidR="00893923" w:rsidRPr="008C1188">
        <w:rPr>
          <w:rFonts w:ascii="Times New Roman" w:hAnsi="Times New Roman" w:cs="Times New Roman"/>
          <w:sz w:val="40"/>
          <w:szCs w:val="40"/>
        </w:rPr>
        <w:t xml:space="preserve">l comparto turistico-ricettivo e commerciale </w:t>
      </w:r>
      <w:r w:rsidRPr="008C1188">
        <w:rPr>
          <w:rFonts w:ascii="Times New Roman" w:hAnsi="Times New Roman" w:cs="Times New Roman"/>
          <w:sz w:val="40"/>
          <w:szCs w:val="40"/>
        </w:rPr>
        <w:t xml:space="preserve">vedrà </w:t>
      </w:r>
      <w:r w:rsidR="00893923" w:rsidRPr="008C1188">
        <w:rPr>
          <w:rFonts w:ascii="Times New Roman" w:hAnsi="Times New Roman" w:cs="Times New Roman"/>
          <w:sz w:val="40"/>
          <w:szCs w:val="40"/>
        </w:rPr>
        <w:t>l’ammodernamento dell’articolato quadro normativo esistente</w:t>
      </w:r>
      <w:r w:rsidRPr="008C1188">
        <w:rPr>
          <w:rFonts w:ascii="Times New Roman" w:hAnsi="Times New Roman" w:cs="Times New Roman"/>
          <w:sz w:val="40"/>
          <w:szCs w:val="40"/>
        </w:rPr>
        <w:t xml:space="preserve">, al fine di </w:t>
      </w:r>
      <w:r w:rsidR="00893923" w:rsidRPr="008C1188">
        <w:rPr>
          <w:rFonts w:ascii="Times New Roman" w:hAnsi="Times New Roman" w:cs="Times New Roman"/>
          <w:sz w:val="40"/>
          <w:szCs w:val="40"/>
        </w:rPr>
        <w:t xml:space="preserve">ad accrescere la competitività della nostra offerta sul mercato turistico in continua evoluzione. Proseguirà il lavoro di regolamentazione delle locazioni turistiche e </w:t>
      </w:r>
      <w:r w:rsidRPr="008C1188">
        <w:rPr>
          <w:rFonts w:ascii="Times New Roman" w:hAnsi="Times New Roman" w:cs="Times New Roman"/>
          <w:sz w:val="40"/>
          <w:szCs w:val="40"/>
        </w:rPr>
        <w:t>sar</w:t>
      </w:r>
      <w:r w:rsidR="00893923" w:rsidRPr="008C1188">
        <w:rPr>
          <w:rFonts w:ascii="Times New Roman" w:hAnsi="Times New Roman" w:cs="Times New Roman"/>
          <w:sz w:val="40"/>
          <w:szCs w:val="40"/>
        </w:rPr>
        <w:t>à perfezionata la disciplina dell’imposta di soggiorno</w:t>
      </w:r>
      <w:r w:rsidRPr="008C1188">
        <w:rPr>
          <w:rFonts w:ascii="Times New Roman" w:hAnsi="Times New Roman" w:cs="Times New Roman"/>
          <w:sz w:val="40"/>
          <w:szCs w:val="40"/>
        </w:rPr>
        <w:t xml:space="preserve">, così come verrà portato a compimento l’iter del </w:t>
      </w:r>
      <w:proofErr w:type="spellStart"/>
      <w:r w:rsidRPr="008C1188">
        <w:rPr>
          <w:rFonts w:ascii="Times New Roman" w:hAnsi="Times New Roman" w:cs="Times New Roman"/>
          <w:sz w:val="40"/>
          <w:szCs w:val="40"/>
        </w:rPr>
        <w:t>ddl</w:t>
      </w:r>
      <w:proofErr w:type="spellEnd"/>
      <w:r w:rsidRPr="008C1188">
        <w:rPr>
          <w:rFonts w:ascii="Times New Roman" w:hAnsi="Times New Roman" w:cs="Times New Roman"/>
          <w:sz w:val="40"/>
          <w:szCs w:val="40"/>
        </w:rPr>
        <w:t xml:space="preserve"> per disciplinare un riuso di edifici da destinare ad alloggi per il personale di imprese del settore e v</w:t>
      </w:r>
      <w:r w:rsidR="00893923" w:rsidRPr="008C1188">
        <w:rPr>
          <w:rFonts w:ascii="Times New Roman" w:hAnsi="Times New Roman" w:cs="Times New Roman"/>
          <w:sz w:val="40"/>
          <w:szCs w:val="40"/>
        </w:rPr>
        <w:t>errà predisposto</w:t>
      </w:r>
      <w:r w:rsidRPr="008C1188">
        <w:rPr>
          <w:rFonts w:ascii="Times New Roman" w:hAnsi="Times New Roman" w:cs="Times New Roman"/>
          <w:sz w:val="40"/>
          <w:szCs w:val="40"/>
        </w:rPr>
        <w:t xml:space="preserve"> </w:t>
      </w:r>
      <w:r w:rsidR="00893923" w:rsidRPr="008C1188">
        <w:rPr>
          <w:rFonts w:ascii="Times New Roman" w:hAnsi="Times New Roman" w:cs="Times New Roman"/>
          <w:sz w:val="40"/>
          <w:szCs w:val="40"/>
        </w:rPr>
        <w:t xml:space="preserve">un </w:t>
      </w:r>
      <w:proofErr w:type="spellStart"/>
      <w:r w:rsidR="00893923" w:rsidRPr="008C1188">
        <w:rPr>
          <w:rFonts w:ascii="Times New Roman" w:hAnsi="Times New Roman" w:cs="Times New Roman"/>
          <w:sz w:val="40"/>
          <w:szCs w:val="40"/>
        </w:rPr>
        <w:t>ddl</w:t>
      </w:r>
      <w:proofErr w:type="spellEnd"/>
      <w:r w:rsidR="00893923" w:rsidRPr="008C1188">
        <w:rPr>
          <w:rFonts w:ascii="Times New Roman" w:hAnsi="Times New Roman" w:cs="Times New Roman"/>
          <w:sz w:val="40"/>
          <w:szCs w:val="40"/>
        </w:rPr>
        <w:t xml:space="preserve"> in materia di incentivi urbanistici per l’ampliamento e la riqualificazione di esercizi turistico-ricettivi.</w:t>
      </w:r>
    </w:p>
    <w:p w14:paraId="67D53BD1"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357C0283" w14:textId="1897480C" w:rsidR="008E4429" w:rsidRPr="008C1188" w:rsidRDefault="00893923"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Nel </w:t>
      </w:r>
      <w:r w:rsidRPr="008C1188">
        <w:rPr>
          <w:rFonts w:ascii="Times New Roman" w:hAnsi="Times New Roman" w:cs="Times New Roman"/>
          <w:b/>
          <w:bCs/>
          <w:sz w:val="40"/>
          <w:szCs w:val="40"/>
        </w:rPr>
        <w:t>settore commerciale</w:t>
      </w:r>
      <w:r w:rsidRPr="008C1188">
        <w:rPr>
          <w:rFonts w:ascii="Times New Roman" w:hAnsi="Times New Roman" w:cs="Times New Roman"/>
          <w:sz w:val="40"/>
          <w:szCs w:val="40"/>
        </w:rPr>
        <w:t xml:space="preserve"> sono state rese strutturali le misure di sostegno a favore degli esercizi di vicinato. È già stato avviato, inoltre, un primo studio per l’aggiornamento della disciplina regionale in materia di commercio </w:t>
      </w:r>
      <w:r w:rsidR="008E4429" w:rsidRPr="008C1188">
        <w:rPr>
          <w:rFonts w:ascii="Times New Roman" w:hAnsi="Times New Roman" w:cs="Times New Roman"/>
          <w:sz w:val="40"/>
          <w:szCs w:val="40"/>
        </w:rPr>
        <w:t xml:space="preserve">e si sta ultimando un </w:t>
      </w:r>
      <w:proofErr w:type="spellStart"/>
      <w:r w:rsidR="008E4429" w:rsidRPr="008C1188">
        <w:rPr>
          <w:rFonts w:ascii="Times New Roman" w:hAnsi="Times New Roman" w:cs="Times New Roman"/>
          <w:sz w:val="40"/>
          <w:szCs w:val="40"/>
        </w:rPr>
        <w:t>ddl</w:t>
      </w:r>
      <w:proofErr w:type="spellEnd"/>
      <w:r w:rsidR="008E4429" w:rsidRPr="008C1188">
        <w:rPr>
          <w:rFonts w:ascii="Times New Roman" w:hAnsi="Times New Roman" w:cs="Times New Roman"/>
          <w:sz w:val="40"/>
          <w:szCs w:val="40"/>
        </w:rPr>
        <w:t xml:space="preserve"> per disciplinare le attività delle agenzie di viaggio e dei tour operator.</w:t>
      </w:r>
    </w:p>
    <w:p w14:paraId="3DE92EED" w14:textId="67FA7D7A" w:rsidR="00893923" w:rsidRPr="008C1188" w:rsidRDefault="008E4429"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 xml:space="preserve">Per quanto concerne il </w:t>
      </w:r>
      <w:r w:rsidRPr="008C1188">
        <w:rPr>
          <w:rFonts w:ascii="Times New Roman" w:hAnsi="Times New Roman" w:cs="Times New Roman"/>
          <w:b/>
          <w:bCs/>
          <w:sz w:val="40"/>
          <w:szCs w:val="40"/>
        </w:rPr>
        <w:t>dominio dello</w:t>
      </w:r>
      <w:r w:rsidR="00893923" w:rsidRPr="008C1188">
        <w:rPr>
          <w:rFonts w:ascii="Times New Roman" w:hAnsi="Times New Roman" w:cs="Times New Roman"/>
          <w:b/>
          <w:bCs/>
          <w:sz w:val="40"/>
          <w:szCs w:val="40"/>
        </w:rPr>
        <w:t xml:space="preserve"> sport</w:t>
      </w:r>
      <w:r w:rsidR="00893923" w:rsidRPr="008C1188">
        <w:rPr>
          <w:rFonts w:ascii="Times New Roman" w:hAnsi="Times New Roman" w:cs="Times New Roman"/>
          <w:sz w:val="40"/>
          <w:szCs w:val="40"/>
        </w:rPr>
        <w:t xml:space="preserve"> è</w:t>
      </w:r>
      <w:r w:rsidRPr="008C1188">
        <w:rPr>
          <w:rFonts w:ascii="Times New Roman" w:hAnsi="Times New Roman" w:cs="Times New Roman"/>
          <w:sz w:val="40"/>
          <w:szCs w:val="40"/>
        </w:rPr>
        <w:t xml:space="preserve"> </w:t>
      </w:r>
      <w:r w:rsidR="00D11BD2" w:rsidRPr="008C1188">
        <w:rPr>
          <w:rFonts w:ascii="Times New Roman" w:hAnsi="Times New Roman" w:cs="Times New Roman"/>
          <w:sz w:val="40"/>
          <w:szCs w:val="40"/>
        </w:rPr>
        <w:t>stato avviato un percorso di</w:t>
      </w:r>
      <w:r w:rsidR="00893923" w:rsidRPr="008C1188">
        <w:rPr>
          <w:rFonts w:ascii="Times New Roman" w:hAnsi="Times New Roman" w:cs="Times New Roman"/>
          <w:sz w:val="40"/>
          <w:szCs w:val="40"/>
        </w:rPr>
        <w:t xml:space="preserve"> riforma della relativa disciplina di sostegno finanziario</w:t>
      </w:r>
      <w:r w:rsidR="00D11BD2" w:rsidRPr="008C1188">
        <w:rPr>
          <w:rFonts w:ascii="Times New Roman" w:hAnsi="Times New Roman" w:cs="Times New Roman"/>
          <w:sz w:val="40"/>
          <w:szCs w:val="40"/>
        </w:rPr>
        <w:t xml:space="preserve"> al settore, accompagnato dalla valorizzazione dei grandi eventi sportivi nella nostra Regione</w:t>
      </w:r>
      <w:r w:rsidRPr="008C1188">
        <w:rPr>
          <w:rFonts w:ascii="Times New Roman" w:hAnsi="Times New Roman" w:cs="Times New Roman"/>
          <w:sz w:val="40"/>
          <w:szCs w:val="40"/>
        </w:rPr>
        <w:t>.</w:t>
      </w:r>
    </w:p>
    <w:p w14:paraId="26801575" w14:textId="1AC40345" w:rsidR="00893923" w:rsidRPr="008C1188" w:rsidRDefault="00893923" w:rsidP="008C1188">
      <w:pPr>
        <w:spacing w:after="0" w:line="288" w:lineRule="auto"/>
        <w:contextualSpacing/>
        <w:jc w:val="both"/>
        <w:rPr>
          <w:rFonts w:ascii="Times New Roman" w:hAnsi="Times New Roman" w:cs="Times New Roman"/>
          <w:sz w:val="40"/>
          <w:szCs w:val="40"/>
        </w:rPr>
      </w:pPr>
    </w:p>
    <w:p w14:paraId="60766542" w14:textId="39177962" w:rsidR="00893923" w:rsidRPr="008C1188" w:rsidRDefault="00893923" w:rsidP="008C1188">
      <w:pPr>
        <w:spacing w:after="0" w:line="288" w:lineRule="auto"/>
        <w:contextualSpacing/>
        <w:jc w:val="both"/>
        <w:rPr>
          <w:rFonts w:ascii="Times New Roman" w:hAnsi="Times New Roman" w:cs="Times New Roman"/>
          <w:sz w:val="40"/>
          <w:szCs w:val="40"/>
        </w:rPr>
      </w:pPr>
    </w:p>
    <w:p w14:paraId="2C3CB3BC" w14:textId="5F998390" w:rsidR="00893923" w:rsidRPr="007834C3" w:rsidRDefault="00893923" w:rsidP="008C1188">
      <w:pPr>
        <w:spacing w:after="0" w:line="288" w:lineRule="auto"/>
        <w:contextualSpacing/>
        <w:jc w:val="both"/>
        <w:rPr>
          <w:rFonts w:ascii="Times New Roman" w:hAnsi="Times New Roman" w:cs="Times New Roman"/>
          <w:sz w:val="40"/>
          <w:szCs w:val="40"/>
        </w:rPr>
      </w:pPr>
      <w:r w:rsidRPr="007834C3">
        <w:rPr>
          <w:rFonts w:ascii="Times New Roman" w:hAnsi="Times New Roman" w:cs="Times New Roman"/>
          <w:sz w:val="40"/>
          <w:szCs w:val="40"/>
        </w:rPr>
        <w:t xml:space="preserve">Nell’ambito dei </w:t>
      </w:r>
      <w:r w:rsidRPr="007834C3">
        <w:rPr>
          <w:rFonts w:ascii="Times New Roman" w:hAnsi="Times New Roman" w:cs="Times New Roman"/>
          <w:b/>
          <w:bCs/>
          <w:sz w:val="40"/>
          <w:szCs w:val="40"/>
        </w:rPr>
        <w:t>beni culturali</w:t>
      </w:r>
      <w:r w:rsidRPr="007834C3">
        <w:rPr>
          <w:rFonts w:ascii="Times New Roman" w:hAnsi="Times New Roman" w:cs="Times New Roman"/>
          <w:sz w:val="40"/>
          <w:szCs w:val="40"/>
        </w:rPr>
        <w:t xml:space="preserve">, il core delle attività è la costante azione di conoscenza, tutela e conservazione del patrimonio culturale al fine di consentirne la fruizione presente e futura. </w:t>
      </w:r>
      <w:r w:rsidR="0097420D" w:rsidRPr="007834C3">
        <w:rPr>
          <w:rFonts w:ascii="Times New Roman" w:hAnsi="Times New Roman" w:cs="Times New Roman"/>
          <w:sz w:val="40"/>
          <w:szCs w:val="40"/>
        </w:rPr>
        <w:t>A ciò si affianca</w:t>
      </w:r>
      <w:r w:rsidRPr="007834C3">
        <w:rPr>
          <w:rFonts w:ascii="Times New Roman" w:hAnsi="Times New Roman" w:cs="Times New Roman"/>
          <w:sz w:val="40"/>
          <w:szCs w:val="40"/>
        </w:rPr>
        <w:t xml:space="preserve"> una intensa attività di valorizzazione e divulgazione </w:t>
      </w:r>
      <w:r w:rsidR="0097420D" w:rsidRPr="007834C3">
        <w:rPr>
          <w:rFonts w:ascii="Times New Roman" w:hAnsi="Times New Roman" w:cs="Times New Roman"/>
          <w:sz w:val="40"/>
          <w:szCs w:val="40"/>
        </w:rPr>
        <w:t>oltre ad un</w:t>
      </w:r>
      <w:r w:rsidRPr="007834C3">
        <w:rPr>
          <w:rFonts w:ascii="Times New Roman" w:hAnsi="Times New Roman" w:cs="Times New Roman"/>
          <w:sz w:val="40"/>
          <w:szCs w:val="40"/>
        </w:rPr>
        <w:t>’ampia offerta di esposizioni, teatro, cinema, spettacoli.</w:t>
      </w:r>
    </w:p>
    <w:p w14:paraId="2FC80A97" w14:textId="5F7DDF9C" w:rsidR="00893923" w:rsidRPr="007834C3" w:rsidRDefault="00893923" w:rsidP="008C1188">
      <w:pPr>
        <w:spacing w:after="0" w:line="288" w:lineRule="auto"/>
        <w:contextualSpacing/>
        <w:jc w:val="both"/>
        <w:rPr>
          <w:rFonts w:ascii="Times New Roman" w:hAnsi="Times New Roman" w:cs="Times New Roman"/>
          <w:sz w:val="40"/>
          <w:szCs w:val="40"/>
        </w:rPr>
      </w:pPr>
      <w:r w:rsidRPr="007834C3">
        <w:rPr>
          <w:rFonts w:ascii="Times New Roman" w:hAnsi="Times New Roman" w:cs="Times New Roman"/>
          <w:sz w:val="40"/>
          <w:szCs w:val="40"/>
        </w:rPr>
        <w:t>Saranno quindi portati avanti, in continuità con la programmazione avviata negli anni precedenti</w:t>
      </w:r>
      <w:r w:rsidR="0097420D" w:rsidRPr="007834C3">
        <w:rPr>
          <w:rFonts w:ascii="Times New Roman" w:hAnsi="Times New Roman" w:cs="Times New Roman"/>
          <w:sz w:val="40"/>
          <w:szCs w:val="40"/>
        </w:rPr>
        <w:t xml:space="preserve"> e confermando l’attenzione alla sostenibilità che fa da trait d’union all’azione amministrativa</w:t>
      </w:r>
      <w:r w:rsidRPr="007834C3">
        <w:rPr>
          <w:rFonts w:ascii="Times New Roman" w:hAnsi="Times New Roman" w:cs="Times New Roman"/>
          <w:sz w:val="40"/>
          <w:szCs w:val="40"/>
        </w:rPr>
        <w:t>:</w:t>
      </w:r>
    </w:p>
    <w:p w14:paraId="284B0DC9" w14:textId="77492550"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gli interventi di conservazione già avviati</w:t>
      </w:r>
      <w:r w:rsidR="0097420D" w:rsidRPr="007834C3">
        <w:rPr>
          <w:rFonts w:ascii="Times New Roman" w:hAnsi="Times New Roman" w:cs="Times New Roman"/>
          <w:sz w:val="40"/>
          <w:szCs w:val="40"/>
        </w:rPr>
        <w:t xml:space="preserve"> in diversi Castelli e siti (</w:t>
      </w:r>
      <w:r w:rsidRPr="007834C3">
        <w:rPr>
          <w:rFonts w:ascii="Times New Roman" w:hAnsi="Times New Roman" w:cs="Times New Roman"/>
          <w:sz w:val="40"/>
          <w:szCs w:val="40"/>
        </w:rPr>
        <w:t xml:space="preserve">Castello </w:t>
      </w:r>
      <w:proofErr w:type="spellStart"/>
      <w:r w:rsidRPr="007834C3">
        <w:rPr>
          <w:rFonts w:ascii="Times New Roman" w:hAnsi="Times New Roman" w:cs="Times New Roman"/>
          <w:sz w:val="40"/>
          <w:szCs w:val="40"/>
        </w:rPr>
        <w:t>Sarriod</w:t>
      </w:r>
      <w:proofErr w:type="spellEnd"/>
      <w:r w:rsidRPr="007834C3">
        <w:rPr>
          <w:rFonts w:ascii="Times New Roman" w:hAnsi="Times New Roman" w:cs="Times New Roman"/>
          <w:sz w:val="40"/>
          <w:szCs w:val="40"/>
        </w:rPr>
        <w:t xml:space="preserve">, Castello di Quart, Castello di Fénis, Castel Savoia, Fontana del Melograno </w:t>
      </w:r>
      <w:r w:rsidR="0097420D" w:rsidRPr="007834C3">
        <w:rPr>
          <w:rFonts w:ascii="Times New Roman" w:hAnsi="Times New Roman" w:cs="Times New Roman"/>
          <w:sz w:val="40"/>
          <w:szCs w:val="40"/>
        </w:rPr>
        <w:t>n</w:t>
      </w:r>
      <w:r w:rsidRPr="007834C3">
        <w:rPr>
          <w:rFonts w:ascii="Times New Roman" w:hAnsi="Times New Roman" w:cs="Times New Roman"/>
          <w:sz w:val="40"/>
          <w:szCs w:val="40"/>
        </w:rPr>
        <w:t xml:space="preserve">el cortile del castello di Issogne, parcheggio interrato </w:t>
      </w:r>
      <w:r w:rsidRPr="007834C3">
        <w:rPr>
          <w:rFonts w:ascii="Times New Roman" w:hAnsi="Times New Roman" w:cs="Times New Roman"/>
          <w:sz w:val="40"/>
          <w:szCs w:val="40"/>
        </w:rPr>
        <w:lastRenderedPageBreak/>
        <w:t>del Castello di Aymavilles, ex-Chiesa del Monastero della Visitazione</w:t>
      </w:r>
      <w:r w:rsidR="0097420D" w:rsidRPr="007834C3">
        <w:rPr>
          <w:rFonts w:ascii="Times New Roman" w:hAnsi="Times New Roman" w:cs="Times New Roman"/>
          <w:sz w:val="40"/>
          <w:szCs w:val="40"/>
        </w:rPr>
        <w:t>)</w:t>
      </w:r>
      <w:r w:rsidRPr="007834C3">
        <w:rPr>
          <w:rFonts w:ascii="Times New Roman" w:hAnsi="Times New Roman" w:cs="Times New Roman"/>
          <w:sz w:val="40"/>
          <w:szCs w:val="40"/>
        </w:rPr>
        <w:t>;</w:t>
      </w:r>
    </w:p>
    <w:p w14:paraId="625CA412" w14:textId="269A48F5"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i progetti di ricerca e valorizzazione del patrimonio finanziati con progetti tra</w:t>
      </w:r>
      <w:r w:rsidR="0097420D" w:rsidRPr="007834C3">
        <w:rPr>
          <w:rFonts w:ascii="Times New Roman" w:hAnsi="Times New Roman" w:cs="Times New Roman"/>
          <w:sz w:val="40"/>
          <w:szCs w:val="40"/>
        </w:rPr>
        <w:t>n</w:t>
      </w:r>
      <w:r w:rsidRPr="007834C3">
        <w:rPr>
          <w:rFonts w:ascii="Times New Roman" w:hAnsi="Times New Roman" w:cs="Times New Roman"/>
          <w:sz w:val="40"/>
          <w:szCs w:val="40"/>
        </w:rPr>
        <w:t>sfrontalieri;</w:t>
      </w:r>
    </w:p>
    <w:p w14:paraId="170F2E64" w14:textId="390A7DED"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la promozione e valorizzazione dell’Area megalitica;</w:t>
      </w:r>
    </w:p>
    <w:p w14:paraId="3C7382BA" w14:textId="0B2CA689"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 xml:space="preserve">le celebrazioni per il 2050esimo anniversario della fondazione di Augusta </w:t>
      </w:r>
      <w:proofErr w:type="spellStart"/>
      <w:r w:rsidRPr="007834C3">
        <w:rPr>
          <w:rFonts w:ascii="Times New Roman" w:hAnsi="Times New Roman" w:cs="Times New Roman"/>
          <w:sz w:val="40"/>
          <w:szCs w:val="40"/>
        </w:rPr>
        <w:t>Praetoria</w:t>
      </w:r>
      <w:proofErr w:type="spellEnd"/>
      <w:r w:rsidRPr="007834C3">
        <w:rPr>
          <w:rFonts w:ascii="Times New Roman" w:hAnsi="Times New Roman" w:cs="Times New Roman"/>
          <w:sz w:val="40"/>
          <w:szCs w:val="40"/>
        </w:rPr>
        <w:t>;</w:t>
      </w:r>
    </w:p>
    <w:p w14:paraId="366AEF97" w14:textId="2BCA3635"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l’ideazione e realizzazione di eventi</w:t>
      </w:r>
      <w:r w:rsidR="0097420D" w:rsidRPr="007834C3">
        <w:rPr>
          <w:rFonts w:ascii="Times New Roman" w:hAnsi="Times New Roman" w:cs="Times New Roman"/>
          <w:sz w:val="40"/>
          <w:szCs w:val="40"/>
        </w:rPr>
        <w:t xml:space="preserve"> </w:t>
      </w:r>
      <w:r w:rsidRPr="007834C3">
        <w:rPr>
          <w:rFonts w:ascii="Times New Roman" w:hAnsi="Times New Roman" w:cs="Times New Roman"/>
          <w:sz w:val="40"/>
          <w:szCs w:val="40"/>
        </w:rPr>
        <w:t>e iniziative culturali, tra cui mostre di rilievo nazionale e internazionale;</w:t>
      </w:r>
    </w:p>
    <w:p w14:paraId="3F763B6A" w14:textId="3391B8AD"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la politica tariffaria a favore dei giovani fruitori;</w:t>
      </w:r>
    </w:p>
    <w:p w14:paraId="35D216E4" w14:textId="5378D9A8"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la partecipazione a Saloni, convegni ed eventi a livello sovra regionale;</w:t>
      </w:r>
    </w:p>
    <w:p w14:paraId="57C50A4F" w14:textId="43048CC7"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il sostegno dell’attività teatrale</w:t>
      </w:r>
      <w:r w:rsidR="0097420D" w:rsidRPr="007834C3">
        <w:rPr>
          <w:rFonts w:ascii="Times New Roman" w:hAnsi="Times New Roman" w:cs="Times New Roman"/>
          <w:sz w:val="40"/>
          <w:szCs w:val="40"/>
        </w:rPr>
        <w:t xml:space="preserve"> e </w:t>
      </w:r>
      <w:r w:rsidRPr="007834C3">
        <w:rPr>
          <w:rFonts w:ascii="Times New Roman" w:hAnsi="Times New Roman" w:cs="Times New Roman"/>
          <w:sz w:val="40"/>
          <w:szCs w:val="40"/>
        </w:rPr>
        <w:t>della musica nelle sue varie forme, la valorizzazione della francofonia e delle lingue minoritarie e il supporto ai centri di studio e promozione della cultura locale (</w:t>
      </w:r>
      <w:proofErr w:type="spellStart"/>
      <w:r w:rsidRPr="007834C3">
        <w:rPr>
          <w:rFonts w:ascii="Times New Roman" w:hAnsi="Times New Roman" w:cs="Times New Roman"/>
          <w:sz w:val="40"/>
          <w:szCs w:val="40"/>
        </w:rPr>
        <w:t>Sociétés</w:t>
      </w:r>
      <w:proofErr w:type="spellEnd"/>
      <w:r w:rsidRPr="007834C3">
        <w:rPr>
          <w:rFonts w:ascii="Times New Roman" w:hAnsi="Times New Roman" w:cs="Times New Roman"/>
          <w:sz w:val="40"/>
          <w:szCs w:val="40"/>
        </w:rPr>
        <w:t xml:space="preserve"> </w:t>
      </w:r>
      <w:proofErr w:type="spellStart"/>
      <w:r w:rsidRPr="007834C3">
        <w:rPr>
          <w:rFonts w:ascii="Times New Roman" w:hAnsi="Times New Roman" w:cs="Times New Roman"/>
          <w:sz w:val="40"/>
          <w:szCs w:val="40"/>
        </w:rPr>
        <w:t>savantes</w:t>
      </w:r>
      <w:proofErr w:type="spellEnd"/>
      <w:r w:rsidRPr="007834C3">
        <w:rPr>
          <w:rFonts w:ascii="Times New Roman" w:hAnsi="Times New Roman" w:cs="Times New Roman"/>
          <w:sz w:val="40"/>
          <w:szCs w:val="40"/>
        </w:rPr>
        <w:t>);</w:t>
      </w:r>
    </w:p>
    <w:p w14:paraId="5498675D" w14:textId="5CA75D94" w:rsidR="00893923" w:rsidRPr="007834C3" w:rsidRDefault="00893923" w:rsidP="006F2274">
      <w:pPr>
        <w:pStyle w:val="Paragrafoelenco"/>
        <w:numPr>
          <w:ilvl w:val="0"/>
          <w:numId w:val="23"/>
        </w:numPr>
        <w:spacing w:after="0" w:line="288" w:lineRule="auto"/>
        <w:jc w:val="both"/>
        <w:rPr>
          <w:rFonts w:ascii="Times New Roman" w:hAnsi="Times New Roman" w:cs="Times New Roman"/>
          <w:sz w:val="40"/>
          <w:szCs w:val="40"/>
        </w:rPr>
      </w:pPr>
      <w:r w:rsidRPr="007834C3">
        <w:rPr>
          <w:rFonts w:ascii="Times New Roman" w:hAnsi="Times New Roman" w:cs="Times New Roman"/>
          <w:sz w:val="40"/>
          <w:szCs w:val="40"/>
        </w:rPr>
        <w:t xml:space="preserve">l’attuazione e il monitoraggio degli </w:t>
      </w:r>
      <w:r w:rsidR="0097420D" w:rsidRPr="007834C3">
        <w:rPr>
          <w:rFonts w:ascii="Times New Roman" w:hAnsi="Times New Roman" w:cs="Times New Roman"/>
          <w:sz w:val="40"/>
          <w:szCs w:val="40"/>
        </w:rPr>
        <w:t xml:space="preserve">specifici </w:t>
      </w:r>
      <w:r w:rsidRPr="007834C3">
        <w:rPr>
          <w:rFonts w:ascii="Times New Roman" w:hAnsi="Times New Roman" w:cs="Times New Roman"/>
          <w:sz w:val="40"/>
          <w:szCs w:val="40"/>
        </w:rPr>
        <w:t xml:space="preserve">interventi finanziati nell’ambito </w:t>
      </w:r>
      <w:r w:rsidR="0097420D" w:rsidRPr="007834C3">
        <w:rPr>
          <w:rFonts w:ascii="Times New Roman" w:hAnsi="Times New Roman" w:cs="Times New Roman"/>
          <w:sz w:val="40"/>
          <w:szCs w:val="40"/>
        </w:rPr>
        <w:t>PNRR</w:t>
      </w:r>
      <w:r w:rsidR="008C1188" w:rsidRPr="007834C3">
        <w:rPr>
          <w:rFonts w:ascii="Times New Roman" w:hAnsi="Times New Roman" w:cs="Times New Roman"/>
          <w:sz w:val="40"/>
          <w:szCs w:val="40"/>
        </w:rPr>
        <w:t>.</w:t>
      </w:r>
    </w:p>
    <w:p w14:paraId="23C2E32E" w14:textId="77777777" w:rsidR="0091181A" w:rsidRPr="008C1188" w:rsidRDefault="0091181A" w:rsidP="008C1188">
      <w:pPr>
        <w:spacing w:after="0" w:line="288" w:lineRule="auto"/>
        <w:contextualSpacing/>
        <w:jc w:val="both"/>
        <w:rPr>
          <w:rFonts w:ascii="Times New Roman" w:hAnsi="Times New Roman" w:cs="Times New Roman"/>
          <w:sz w:val="40"/>
          <w:szCs w:val="40"/>
        </w:rPr>
      </w:pPr>
    </w:p>
    <w:p w14:paraId="54E0E86F" w14:textId="77777777" w:rsidR="00DF11C3" w:rsidRPr="00B8535C" w:rsidRDefault="00DF11C3" w:rsidP="00DF11C3">
      <w:pPr>
        <w:spacing w:line="288" w:lineRule="auto"/>
        <w:jc w:val="both"/>
        <w:rPr>
          <w:rFonts w:ascii="Times New Roman" w:hAnsi="Times New Roman" w:cs="Times New Roman"/>
          <w:b/>
          <w:bCs/>
          <w:sz w:val="40"/>
          <w:szCs w:val="40"/>
          <w:lang w:val="fr-FR"/>
        </w:rPr>
      </w:pPr>
      <w:r w:rsidRPr="00B8535C">
        <w:rPr>
          <w:rFonts w:ascii="Times New Roman" w:hAnsi="Times New Roman" w:cs="Times New Roman"/>
          <w:sz w:val="40"/>
          <w:szCs w:val="40"/>
          <w:lang w:val="fr-FR"/>
        </w:rPr>
        <w:t xml:space="preserve">En ce qui concerne le </w:t>
      </w:r>
      <w:r w:rsidRPr="00B8535C">
        <w:rPr>
          <w:rFonts w:ascii="Times New Roman" w:hAnsi="Times New Roman" w:cs="Times New Roman"/>
          <w:b/>
          <w:bCs/>
          <w:sz w:val="40"/>
          <w:szCs w:val="40"/>
          <w:lang w:val="fr-FR"/>
        </w:rPr>
        <w:t>domaine des politiques</w:t>
      </w:r>
      <w:r w:rsidRPr="00B8535C">
        <w:rPr>
          <w:rFonts w:ascii="Times New Roman" w:hAnsi="Times New Roman" w:cs="Times New Roman"/>
          <w:sz w:val="40"/>
          <w:szCs w:val="40"/>
          <w:lang w:val="fr-FR"/>
        </w:rPr>
        <w:t xml:space="preserve"> </w:t>
      </w:r>
      <w:r w:rsidRPr="00B8535C">
        <w:rPr>
          <w:rFonts w:ascii="Times New Roman" w:hAnsi="Times New Roman" w:cs="Times New Roman"/>
          <w:b/>
          <w:bCs/>
          <w:sz w:val="40"/>
          <w:szCs w:val="40"/>
          <w:lang w:val="fr-FR"/>
        </w:rPr>
        <w:t>de la jeunesse et de l’éducation</w:t>
      </w:r>
      <w:r w:rsidRPr="00B8535C">
        <w:rPr>
          <w:rFonts w:ascii="Times New Roman" w:hAnsi="Times New Roman" w:cs="Times New Roman"/>
          <w:sz w:val="40"/>
          <w:szCs w:val="40"/>
          <w:lang w:val="fr-FR"/>
        </w:rPr>
        <w:t>, en ligne avec la programmation des années précédentes, il convient de continuer à investir pour la formation des enseignants, surtout dans les secteurs de l’éducation civique, de l’inclusion, du plurilinguisme et du numérique.</w:t>
      </w:r>
    </w:p>
    <w:p w14:paraId="5341D732" w14:textId="77777777" w:rsidR="00DF11C3" w:rsidRPr="00B8535C" w:rsidRDefault="00DF11C3" w:rsidP="00DF11C3">
      <w:pPr>
        <w:spacing w:line="288" w:lineRule="auto"/>
        <w:jc w:val="both"/>
        <w:rPr>
          <w:rFonts w:ascii="Times New Roman" w:hAnsi="Times New Roman" w:cs="Times New Roman"/>
          <w:sz w:val="40"/>
          <w:szCs w:val="40"/>
          <w:lang w:val="fr-FR"/>
        </w:rPr>
      </w:pPr>
      <w:r w:rsidRPr="00B8535C">
        <w:rPr>
          <w:rFonts w:ascii="Times New Roman" w:hAnsi="Times New Roman" w:cs="Times New Roman"/>
          <w:sz w:val="40"/>
          <w:szCs w:val="40"/>
          <w:lang w:val="fr-FR"/>
        </w:rPr>
        <w:lastRenderedPageBreak/>
        <w:t>L’école se doit de devenir de plus en plus accueillante, inclusive et ouverte au monde, et ce, selon une logique d’internationalisation.</w:t>
      </w:r>
    </w:p>
    <w:p w14:paraId="597DA414" w14:textId="1252DA03" w:rsidR="00DF11C3" w:rsidRPr="00B8535C" w:rsidRDefault="00DF11C3" w:rsidP="00DF11C3">
      <w:pPr>
        <w:spacing w:line="288" w:lineRule="auto"/>
        <w:jc w:val="both"/>
        <w:rPr>
          <w:rFonts w:ascii="Times New Roman" w:hAnsi="Times New Roman" w:cs="Times New Roman"/>
          <w:sz w:val="40"/>
          <w:szCs w:val="40"/>
          <w:lang w:val="fr-FR"/>
        </w:rPr>
      </w:pPr>
      <w:r w:rsidRPr="00B8535C">
        <w:rPr>
          <w:rFonts w:ascii="Times New Roman" w:hAnsi="Times New Roman" w:cs="Times New Roman"/>
          <w:sz w:val="40"/>
          <w:szCs w:val="40"/>
          <w:lang w:val="fr-FR"/>
        </w:rPr>
        <w:t>Nous comptons poursuivre notre travail dans les domaines pouvant contribuer au développement de synergies avec tous les acteurs du territoire qui s’occupent de la promotion d’activités artistiques, culturelles, sportives ou de découverte de la montagne dans le cadre d’une action d’orientation de plus en plus efficace, à laquelle puissent participer activement les entreprises et les familles, pour assurer le succès de la formation de chaque élève et favoriser « le bien-être à l’école ».</w:t>
      </w:r>
    </w:p>
    <w:p w14:paraId="440C73EC" w14:textId="77777777" w:rsidR="00DF11C3" w:rsidRPr="00B8535C" w:rsidRDefault="00DF11C3" w:rsidP="00DF11C3">
      <w:pPr>
        <w:spacing w:line="288" w:lineRule="auto"/>
        <w:jc w:val="both"/>
        <w:rPr>
          <w:rFonts w:ascii="Times New Roman" w:hAnsi="Times New Roman" w:cs="Times New Roman"/>
          <w:sz w:val="40"/>
          <w:szCs w:val="40"/>
          <w:lang w:val="fr-FR"/>
        </w:rPr>
      </w:pPr>
    </w:p>
    <w:p w14:paraId="2CC80AB7" w14:textId="77777777" w:rsidR="00DF11C3" w:rsidRPr="00B8535C" w:rsidRDefault="00DF11C3" w:rsidP="00DF11C3">
      <w:pPr>
        <w:spacing w:line="288" w:lineRule="auto"/>
        <w:jc w:val="both"/>
        <w:rPr>
          <w:rFonts w:ascii="Times New Roman" w:hAnsi="Times New Roman" w:cs="Times New Roman"/>
          <w:sz w:val="40"/>
          <w:szCs w:val="40"/>
          <w:lang w:val="fr-FR"/>
        </w:rPr>
      </w:pPr>
      <w:r w:rsidRPr="00B8535C">
        <w:rPr>
          <w:rFonts w:ascii="Times New Roman" w:hAnsi="Times New Roman" w:cs="Times New Roman"/>
          <w:sz w:val="40"/>
          <w:szCs w:val="40"/>
          <w:lang w:val="fr-FR"/>
        </w:rPr>
        <w:t>Dans le cadre de la nouvelle mise à l’échelle de l’école en général, il convient de souligner l’importance de l’éducation et de la formation professionnelle, ainsi que celle du développement du système intégré 0-6, afin de garantir à tous les enfants les mêmes opportunités de développer leur potentiel en termes de relations, d’autonomie, de créativité et d’apprentissage, et ce, pour surmonter les inégalités aussi bien que les barrières territoriales, économiques et culturelles.</w:t>
      </w:r>
    </w:p>
    <w:p w14:paraId="114FCA20" w14:textId="77777777" w:rsidR="00DF11C3" w:rsidRPr="00B8535C" w:rsidRDefault="00DF11C3" w:rsidP="00DF11C3">
      <w:pPr>
        <w:spacing w:line="288" w:lineRule="auto"/>
        <w:jc w:val="both"/>
        <w:rPr>
          <w:rFonts w:ascii="Times New Roman" w:hAnsi="Times New Roman" w:cs="Times New Roman"/>
          <w:sz w:val="40"/>
          <w:szCs w:val="40"/>
          <w:lang w:val="fr-FR"/>
        </w:rPr>
      </w:pPr>
    </w:p>
    <w:p w14:paraId="3D09F794" w14:textId="77777777" w:rsidR="00DF11C3" w:rsidRPr="00B8535C" w:rsidRDefault="00DF11C3" w:rsidP="00DF11C3">
      <w:pPr>
        <w:spacing w:line="288" w:lineRule="auto"/>
        <w:jc w:val="both"/>
        <w:rPr>
          <w:rFonts w:ascii="Times New Roman" w:hAnsi="Times New Roman" w:cs="Times New Roman"/>
          <w:sz w:val="40"/>
          <w:szCs w:val="40"/>
          <w:lang w:val="fr-FR"/>
        </w:rPr>
      </w:pPr>
      <w:r w:rsidRPr="00B8535C">
        <w:rPr>
          <w:rFonts w:ascii="Times New Roman" w:hAnsi="Times New Roman" w:cs="Times New Roman"/>
          <w:sz w:val="40"/>
          <w:szCs w:val="40"/>
          <w:lang w:val="fr-FR"/>
        </w:rPr>
        <w:t xml:space="preserve">Par ailleurs, il sera nécessaire de continuer à garantir le maintien des petites écoles de montagne, dans une optique durable, ainsi que de porter à terme le parcours visant la mise </w:t>
      </w:r>
      <w:r w:rsidRPr="00B8535C">
        <w:rPr>
          <w:rFonts w:ascii="Times New Roman" w:hAnsi="Times New Roman" w:cs="Times New Roman"/>
          <w:sz w:val="40"/>
          <w:szCs w:val="40"/>
          <w:lang w:val="fr-FR"/>
        </w:rPr>
        <w:lastRenderedPageBreak/>
        <w:t>aux normes de tous les bâtiments scolaires appartenant à la Région ou aux collectivités locales, du point de vue sismique et fonctionnel et aussi pour ce qui est des installations, avec une attention particulière à l’amélioration de l’efficacité énergétique.</w:t>
      </w:r>
    </w:p>
    <w:p w14:paraId="426BCD52" w14:textId="77777777" w:rsidR="00DF11C3" w:rsidRPr="00B8535C" w:rsidRDefault="00DF11C3" w:rsidP="00DF11C3">
      <w:pPr>
        <w:spacing w:line="288" w:lineRule="auto"/>
        <w:jc w:val="both"/>
        <w:rPr>
          <w:rFonts w:ascii="Times New Roman" w:hAnsi="Times New Roman" w:cs="Times New Roman"/>
          <w:sz w:val="40"/>
          <w:szCs w:val="40"/>
          <w:lang w:val="fr-FR"/>
        </w:rPr>
      </w:pPr>
    </w:p>
    <w:p w14:paraId="3CB0937D" w14:textId="15954F79" w:rsidR="00DF11C3" w:rsidRDefault="00DF11C3" w:rsidP="00DF11C3">
      <w:pPr>
        <w:spacing w:line="288" w:lineRule="auto"/>
        <w:jc w:val="both"/>
        <w:rPr>
          <w:rFonts w:ascii="Times New Roman" w:hAnsi="Times New Roman" w:cs="Times New Roman"/>
          <w:sz w:val="40"/>
          <w:szCs w:val="40"/>
          <w:lang w:val="fr-FR"/>
        </w:rPr>
      </w:pPr>
      <w:r w:rsidRPr="00B8535C">
        <w:rPr>
          <w:rFonts w:ascii="Times New Roman" w:hAnsi="Times New Roman" w:cs="Times New Roman"/>
          <w:sz w:val="40"/>
          <w:szCs w:val="40"/>
          <w:lang w:val="fr-FR"/>
        </w:rPr>
        <w:t>Enfin, il convient de souligner l’importance des aides concrètes pour assurer aux familles, ainsi qu’aux élèves et étudiants, la pleine application du droit aux études, tant pour la scolarité obligatoire, que pour les études universitaires et post-universitaires.</w:t>
      </w:r>
    </w:p>
    <w:p w14:paraId="1C169121" w14:textId="77777777" w:rsidR="00DF11C3" w:rsidRPr="002B460B" w:rsidRDefault="00DF11C3" w:rsidP="00DF11C3">
      <w:pPr>
        <w:spacing w:line="288" w:lineRule="auto"/>
        <w:jc w:val="both"/>
        <w:rPr>
          <w:rFonts w:ascii="Times New Roman" w:hAnsi="Times New Roman" w:cs="Times New Roman"/>
          <w:sz w:val="40"/>
          <w:szCs w:val="40"/>
          <w:lang w:val="fr-FR"/>
        </w:rPr>
      </w:pPr>
    </w:p>
    <w:p w14:paraId="738033AA" w14:textId="1C6DC33B" w:rsidR="008C1188" w:rsidRDefault="008C118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t>I</w:t>
      </w:r>
      <w:r w:rsidR="00173108" w:rsidRPr="008C1188">
        <w:rPr>
          <w:rFonts w:ascii="Times New Roman" w:hAnsi="Times New Roman" w:cs="Times New Roman"/>
          <w:sz w:val="40"/>
          <w:szCs w:val="40"/>
        </w:rPr>
        <w:t xml:space="preserve">l DEFR 2025-2027 si presenta dunque come un documento in cui sono condivisi obiettivi e linee strategiche sotto </w:t>
      </w:r>
      <w:r w:rsidR="00173108" w:rsidRPr="006F2274">
        <w:rPr>
          <w:rFonts w:ascii="Times New Roman" w:hAnsi="Times New Roman" w:cs="Times New Roman"/>
          <w:b/>
          <w:bCs/>
          <w:sz w:val="40"/>
          <w:szCs w:val="40"/>
        </w:rPr>
        <w:t>il filo conduttore della sostenibilità, dell’accessibilità e dell’attenzione al territorio e alla comunità</w:t>
      </w:r>
      <w:r w:rsidR="00173108" w:rsidRPr="008C1188">
        <w:rPr>
          <w:rFonts w:ascii="Times New Roman" w:hAnsi="Times New Roman" w:cs="Times New Roman"/>
          <w:sz w:val="40"/>
          <w:szCs w:val="40"/>
        </w:rPr>
        <w:t>, in un’ottica di sviluppo e valorizzazione delle risorse e del patrimonio della nostra Region</w:t>
      </w:r>
      <w:r w:rsidRPr="008C1188">
        <w:rPr>
          <w:rFonts w:ascii="Times New Roman" w:hAnsi="Times New Roman" w:cs="Times New Roman"/>
          <w:sz w:val="40"/>
          <w:szCs w:val="40"/>
        </w:rPr>
        <w:t>e, con un’attenzione particolare a vivere e far vivere la montagna sia attraverso investimenti che ne aumentino la sicurezza e che la tutelino, là dove possibile, dai cambiamenti climatici, sia tracciando la strada per infrastrutture e servizi che possano rendere il nostro territorio più attrattivo e in grado di garantire stabilità occupazione e nuove ed interessanti opportunità di scelta per i nostri giovani.</w:t>
      </w:r>
    </w:p>
    <w:p w14:paraId="39E77CE2" w14:textId="77777777" w:rsidR="006F2274" w:rsidRPr="008C1188" w:rsidRDefault="006F2274" w:rsidP="008C1188">
      <w:pPr>
        <w:spacing w:after="0" w:line="288" w:lineRule="auto"/>
        <w:contextualSpacing/>
        <w:jc w:val="both"/>
        <w:rPr>
          <w:rFonts w:ascii="Times New Roman" w:hAnsi="Times New Roman" w:cs="Times New Roman"/>
          <w:sz w:val="40"/>
          <w:szCs w:val="40"/>
        </w:rPr>
      </w:pPr>
    </w:p>
    <w:p w14:paraId="0F553BFC" w14:textId="506D543E" w:rsidR="008C1188" w:rsidRPr="008C1188" w:rsidRDefault="008C1188" w:rsidP="008C1188">
      <w:pPr>
        <w:spacing w:after="0" w:line="288" w:lineRule="auto"/>
        <w:contextualSpacing/>
        <w:jc w:val="both"/>
        <w:rPr>
          <w:rFonts w:ascii="Times New Roman" w:hAnsi="Times New Roman" w:cs="Times New Roman"/>
          <w:sz w:val="40"/>
          <w:szCs w:val="40"/>
        </w:rPr>
      </w:pPr>
      <w:r w:rsidRPr="008C1188">
        <w:rPr>
          <w:rFonts w:ascii="Times New Roman" w:hAnsi="Times New Roman" w:cs="Times New Roman"/>
          <w:sz w:val="40"/>
          <w:szCs w:val="40"/>
        </w:rPr>
        <w:lastRenderedPageBreak/>
        <w:t xml:space="preserve">La </w:t>
      </w:r>
      <w:r w:rsidRPr="006F2274">
        <w:rPr>
          <w:rFonts w:ascii="Times New Roman" w:hAnsi="Times New Roman" w:cs="Times New Roman"/>
          <w:b/>
          <w:bCs/>
          <w:sz w:val="40"/>
          <w:szCs w:val="40"/>
        </w:rPr>
        <w:t>sostenibilità è dunque declinata in tutte le sue forme socio-economico-ambientali</w:t>
      </w:r>
      <w:r w:rsidRPr="008C1188">
        <w:rPr>
          <w:rFonts w:ascii="Times New Roman" w:hAnsi="Times New Roman" w:cs="Times New Roman"/>
          <w:sz w:val="40"/>
          <w:szCs w:val="40"/>
        </w:rPr>
        <w:t xml:space="preserve"> con l’attenzione dovuta soprattutto agli elementi più deboli della comunità così come a quelli territoriali, cercando di dosare con equilibrio le iniziative, le azioni e le risorse per far crescere nel modo più armonioso possibile il sistema Valle d’Aosta nel suo complesso.</w:t>
      </w:r>
    </w:p>
    <w:sectPr w:rsidR="008C1188" w:rsidRPr="008C1188" w:rsidSect="0091181A">
      <w:footerReference w:type="default" r:id="rId8"/>
      <w:pgSz w:w="11906" w:h="16838"/>
      <w:pgMar w:top="964" w:right="1134" w:bottom="709"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2E5E" w14:textId="77777777" w:rsidR="007C4B58" w:rsidRDefault="007C4B58" w:rsidP="007C4B58">
      <w:pPr>
        <w:spacing w:after="0" w:line="240" w:lineRule="auto"/>
      </w:pPr>
      <w:r>
        <w:separator/>
      </w:r>
    </w:p>
  </w:endnote>
  <w:endnote w:type="continuationSeparator" w:id="0">
    <w:p w14:paraId="4BB51C90" w14:textId="77777777" w:rsidR="007C4B58" w:rsidRDefault="007C4B58" w:rsidP="007C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912344"/>
      <w:docPartObj>
        <w:docPartGallery w:val="Page Numbers (Bottom of Page)"/>
        <w:docPartUnique/>
      </w:docPartObj>
    </w:sdtPr>
    <w:sdtEndPr/>
    <w:sdtContent>
      <w:p w14:paraId="2DB591D7" w14:textId="4847EBE1" w:rsidR="0091181A" w:rsidRDefault="0091181A">
        <w:pPr>
          <w:pStyle w:val="Pidipagina"/>
          <w:jc w:val="right"/>
        </w:pPr>
        <w:r>
          <w:fldChar w:fldCharType="begin"/>
        </w:r>
        <w:r>
          <w:instrText>PAGE   \* MERGEFORMAT</w:instrText>
        </w:r>
        <w:r>
          <w:fldChar w:fldCharType="separate"/>
        </w:r>
        <w:r>
          <w:t>2</w:t>
        </w:r>
        <w:r>
          <w:fldChar w:fldCharType="end"/>
        </w:r>
      </w:p>
    </w:sdtContent>
  </w:sdt>
  <w:p w14:paraId="0D35E4FD" w14:textId="77777777" w:rsidR="0091181A" w:rsidRDefault="009118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1AD7B" w14:textId="77777777" w:rsidR="007C4B58" w:rsidRDefault="007C4B58" w:rsidP="007C4B58">
      <w:pPr>
        <w:spacing w:after="0" w:line="240" w:lineRule="auto"/>
      </w:pPr>
      <w:r>
        <w:separator/>
      </w:r>
    </w:p>
  </w:footnote>
  <w:footnote w:type="continuationSeparator" w:id="0">
    <w:p w14:paraId="7952D621" w14:textId="77777777" w:rsidR="007C4B58" w:rsidRDefault="007C4B58" w:rsidP="007C4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3B0"/>
    <w:multiLevelType w:val="hybridMultilevel"/>
    <w:tmpl w:val="4D04F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11A68"/>
    <w:multiLevelType w:val="hybridMultilevel"/>
    <w:tmpl w:val="6BEA5328"/>
    <w:lvl w:ilvl="0" w:tplc="07580C2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65D43"/>
    <w:multiLevelType w:val="hybridMultilevel"/>
    <w:tmpl w:val="B8645D88"/>
    <w:lvl w:ilvl="0" w:tplc="730C09C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71D9C"/>
    <w:multiLevelType w:val="hybridMultilevel"/>
    <w:tmpl w:val="2E06E75C"/>
    <w:lvl w:ilvl="0" w:tplc="5B7E5FD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55C9B"/>
    <w:multiLevelType w:val="hybridMultilevel"/>
    <w:tmpl w:val="06CAE7E6"/>
    <w:lvl w:ilvl="0" w:tplc="AAD686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232ABB"/>
    <w:multiLevelType w:val="hybridMultilevel"/>
    <w:tmpl w:val="F9CCC42E"/>
    <w:lvl w:ilvl="0" w:tplc="AAD686A4">
      <w:numFmt w:val="bullet"/>
      <w:lvlText w:val="•"/>
      <w:lvlJc w:val="left"/>
      <w:pPr>
        <w:ind w:left="720" w:hanging="360"/>
      </w:pPr>
      <w:rPr>
        <w:rFonts w:ascii="Calibri" w:eastAsia="Calibri" w:hAnsi="Calibri" w:cs="Calibri" w:hint="default"/>
      </w:rPr>
    </w:lvl>
    <w:lvl w:ilvl="1" w:tplc="205A5E42">
      <w:start w:val="1"/>
      <w:numFmt w:val="bullet"/>
      <w:lvlText w:val="-"/>
      <w:lvlJc w:val="left"/>
      <w:pPr>
        <w:ind w:left="1440" w:hanging="360"/>
      </w:pPr>
      <w:rPr>
        <w:rFonts w:ascii="Agency FB" w:hAnsi="Agency FB"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0E16F2"/>
    <w:multiLevelType w:val="hybridMultilevel"/>
    <w:tmpl w:val="D116EF96"/>
    <w:lvl w:ilvl="0" w:tplc="AAD686A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A55A90"/>
    <w:multiLevelType w:val="hybridMultilevel"/>
    <w:tmpl w:val="31CA65DA"/>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AF60E6"/>
    <w:multiLevelType w:val="hybridMultilevel"/>
    <w:tmpl w:val="32F8CAF6"/>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F5442F"/>
    <w:multiLevelType w:val="hybridMultilevel"/>
    <w:tmpl w:val="EF80B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B91F35"/>
    <w:multiLevelType w:val="hybridMultilevel"/>
    <w:tmpl w:val="D5B86D7C"/>
    <w:lvl w:ilvl="0" w:tplc="AAD686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AB1467"/>
    <w:multiLevelType w:val="hybridMultilevel"/>
    <w:tmpl w:val="E2BA9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C23FC8"/>
    <w:multiLevelType w:val="hybridMultilevel"/>
    <w:tmpl w:val="5F06FEF8"/>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002059"/>
    <w:multiLevelType w:val="hybridMultilevel"/>
    <w:tmpl w:val="4B14B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B339A5"/>
    <w:multiLevelType w:val="hybridMultilevel"/>
    <w:tmpl w:val="7A1E54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5E5E61"/>
    <w:multiLevelType w:val="hybridMultilevel"/>
    <w:tmpl w:val="14961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FA7E89"/>
    <w:multiLevelType w:val="hybridMultilevel"/>
    <w:tmpl w:val="23F0F8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664D8E"/>
    <w:multiLevelType w:val="hybridMultilevel"/>
    <w:tmpl w:val="271849CE"/>
    <w:lvl w:ilvl="0" w:tplc="DBC82B0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D968DE"/>
    <w:multiLevelType w:val="hybridMultilevel"/>
    <w:tmpl w:val="8F1A55C2"/>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A6E1B66"/>
    <w:multiLevelType w:val="hybridMultilevel"/>
    <w:tmpl w:val="B0B0D870"/>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7B60AA"/>
    <w:multiLevelType w:val="hybridMultilevel"/>
    <w:tmpl w:val="0AD04EF8"/>
    <w:lvl w:ilvl="0" w:tplc="4BF44EE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9424E6"/>
    <w:multiLevelType w:val="hybridMultilevel"/>
    <w:tmpl w:val="A2507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AC3794"/>
    <w:multiLevelType w:val="hybridMultilevel"/>
    <w:tmpl w:val="DE78349C"/>
    <w:lvl w:ilvl="0" w:tplc="205A5E42">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20"/>
  </w:num>
  <w:num w:numId="5">
    <w:abstractNumId w:val="4"/>
  </w:num>
  <w:num w:numId="6">
    <w:abstractNumId w:val="13"/>
  </w:num>
  <w:num w:numId="7">
    <w:abstractNumId w:val="10"/>
  </w:num>
  <w:num w:numId="8">
    <w:abstractNumId w:val="6"/>
  </w:num>
  <w:num w:numId="9">
    <w:abstractNumId w:val="5"/>
  </w:num>
  <w:num w:numId="10">
    <w:abstractNumId w:val="19"/>
  </w:num>
  <w:num w:numId="11">
    <w:abstractNumId w:val="22"/>
  </w:num>
  <w:num w:numId="12">
    <w:abstractNumId w:val="16"/>
  </w:num>
  <w:num w:numId="13">
    <w:abstractNumId w:val="21"/>
  </w:num>
  <w:num w:numId="14">
    <w:abstractNumId w:val="0"/>
  </w:num>
  <w:num w:numId="15">
    <w:abstractNumId w:val="2"/>
  </w:num>
  <w:num w:numId="16">
    <w:abstractNumId w:val="14"/>
  </w:num>
  <w:num w:numId="17">
    <w:abstractNumId w:val="15"/>
  </w:num>
  <w:num w:numId="18">
    <w:abstractNumId w:val="9"/>
  </w:num>
  <w:num w:numId="19">
    <w:abstractNumId w:val="1"/>
  </w:num>
  <w:num w:numId="20">
    <w:abstractNumId w:val="12"/>
  </w:num>
  <w:num w:numId="21">
    <w:abstractNumId w:val="8"/>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A8"/>
    <w:rsid w:val="00001E07"/>
    <w:rsid w:val="000F5AAE"/>
    <w:rsid w:val="000F647B"/>
    <w:rsid w:val="00133BB1"/>
    <w:rsid w:val="00144712"/>
    <w:rsid w:val="00161005"/>
    <w:rsid w:val="00173108"/>
    <w:rsid w:val="001B78BB"/>
    <w:rsid w:val="001C4934"/>
    <w:rsid w:val="001E271A"/>
    <w:rsid w:val="001E2A45"/>
    <w:rsid w:val="00210464"/>
    <w:rsid w:val="00253C99"/>
    <w:rsid w:val="00263E67"/>
    <w:rsid w:val="00287903"/>
    <w:rsid w:val="00287C5F"/>
    <w:rsid w:val="002A67BB"/>
    <w:rsid w:val="002C3488"/>
    <w:rsid w:val="002D5CFB"/>
    <w:rsid w:val="00303A88"/>
    <w:rsid w:val="003E67C2"/>
    <w:rsid w:val="003F6A8C"/>
    <w:rsid w:val="00403691"/>
    <w:rsid w:val="00405E3D"/>
    <w:rsid w:val="0041346E"/>
    <w:rsid w:val="00417595"/>
    <w:rsid w:val="004364E0"/>
    <w:rsid w:val="0046363E"/>
    <w:rsid w:val="0047420C"/>
    <w:rsid w:val="004A7C0E"/>
    <w:rsid w:val="004E567E"/>
    <w:rsid w:val="0055225F"/>
    <w:rsid w:val="005D3A67"/>
    <w:rsid w:val="0062632B"/>
    <w:rsid w:val="00672E33"/>
    <w:rsid w:val="0069748C"/>
    <w:rsid w:val="006A3583"/>
    <w:rsid w:val="006A4866"/>
    <w:rsid w:val="006F2274"/>
    <w:rsid w:val="007057B5"/>
    <w:rsid w:val="007059ED"/>
    <w:rsid w:val="00722B95"/>
    <w:rsid w:val="0074649D"/>
    <w:rsid w:val="007834C3"/>
    <w:rsid w:val="00793206"/>
    <w:rsid w:val="007962D0"/>
    <w:rsid w:val="007B50BA"/>
    <w:rsid w:val="007C2F19"/>
    <w:rsid w:val="007C4B58"/>
    <w:rsid w:val="007C4BE0"/>
    <w:rsid w:val="007F7324"/>
    <w:rsid w:val="00856EEC"/>
    <w:rsid w:val="00893923"/>
    <w:rsid w:val="008966E3"/>
    <w:rsid w:val="008A6102"/>
    <w:rsid w:val="008B338F"/>
    <w:rsid w:val="008C1188"/>
    <w:rsid w:val="008C25C8"/>
    <w:rsid w:val="008C69E6"/>
    <w:rsid w:val="008E4429"/>
    <w:rsid w:val="008F5A63"/>
    <w:rsid w:val="008F7BA0"/>
    <w:rsid w:val="00905848"/>
    <w:rsid w:val="0091181A"/>
    <w:rsid w:val="00965908"/>
    <w:rsid w:val="00965993"/>
    <w:rsid w:val="0097420D"/>
    <w:rsid w:val="009B28C0"/>
    <w:rsid w:val="009B75A9"/>
    <w:rsid w:val="00A26CE1"/>
    <w:rsid w:val="00A56CE1"/>
    <w:rsid w:val="00A66B66"/>
    <w:rsid w:val="00A92FDD"/>
    <w:rsid w:val="00AC0864"/>
    <w:rsid w:val="00AD5BEA"/>
    <w:rsid w:val="00AF5FE6"/>
    <w:rsid w:val="00B038DF"/>
    <w:rsid w:val="00B22F72"/>
    <w:rsid w:val="00B40899"/>
    <w:rsid w:val="00B62EEC"/>
    <w:rsid w:val="00B84A47"/>
    <w:rsid w:val="00BA1E29"/>
    <w:rsid w:val="00BA3B45"/>
    <w:rsid w:val="00C162A8"/>
    <w:rsid w:val="00C60831"/>
    <w:rsid w:val="00C80EA2"/>
    <w:rsid w:val="00C8617C"/>
    <w:rsid w:val="00C91EE6"/>
    <w:rsid w:val="00CF14D4"/>
    <w:rsid w:val="00D11BD2"/>
    <w:rsid w:val="00D125D6"/>
    <w:rsid w:val="00D34631"/>
    <w:rsid w:val="00D40A8A"/>
    <w:rsid w:val="00D47A26"/>
    <w:rsid w:val="00D54C40"/>
    <w:rsid w:val="00D71424"/>
    <w:rsid w:val="00D95A18"/>
    <w:rsid w:val="00DE5ADB"/>
    <w:rsid w:val="00DF11C3"/>
    <w:rsid w:val="00E270E1"/>
    <w:rsid w:val="00E56DCF"/>
    <w:rsid w:val="00E722CD"/>
    <w:rsid w:val="00EC2FEB"/>
    <w:rsid w:val="00EC3AD2"/>
    <w:rsid w:val="00EC6ACA"/>
    <w:rsid w:val="00ED5ABF"/>
    <w:rsid w:val="00F120FF"/>
    <w:rsid w:val="00F20C38"/>
    <w:rsid w:val="00F42C18"/>
    <w:rsid w:val="00FE0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516C0"/>
  <w15:chartTrackingRefBased/>
  <w15:docId w15:val="{46B965CC-B1B9-4F17-B18A-CD3A58A2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162A8"/>
    <w:pPr>
      <w:spacing w:line="254" w:lineRule="auto"/>
    </w:pPr>
  </w:style>
  <w:style w:type="paragraph" w:styleId="Titolo2">
    <w:name w:val="heading 2"/>
    <w:basedOn w:val="Normale"/>
    <w:next w:val="Normale"/>
    <w:link w:val="Titolo2Carattere"/>
    <w:uiPriority w:val="9"/>
    <w:semiHidden/>
    <w:unhideWhenUsed/>
    <w:qFormat/>
    <w:rsid w:val="00A66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9058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BA3B45"/>
    <w:pPr>
      <w:keepNext/>
      <w:keepLines/>
      <w:spacing w:before="200" w:after="0" w:line="276" w:lineRule="auto"/>
      <w:jc w:val="both"/>
      <w:outlineLvl w:val="3"/>
    </w:pPr>
    <w:rPr>
      <w:rFonts w:ascii="Calibri" w:eastAsia="SimSun" w:hAnsi="Calibri" w:cs="Arial"/>
      <w:b/>
      <w:bCs/>
      <w:i/>
      <w:iCs/>
      <w:color w:val="D34817"/>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25C8"/>
    <w:pPr>
      <w:ind w:left="720"/>
      <w:contextualSpacing/>
    </w:pPr>
  </w:style>
  <w:style w:type="character" w:customStyle="1" w:styleId="Titolo4Carattere">
    <w:name w:val="Titolo 4 Carattere"/>
    <w:basedOn w:val="Carpredefinitoparagrafo"/>
    <w:link w:val="Titolo4"/>
    <w:uiPriority w:val="9"/>
    <w:rsid w:val="00BA3B45"/>
    <w:rPr>
      <w:rFonts w:ascii="Calibri" w:eastAsia="SimSun" w:hAnsi="Calibri" w:cs="Arial"/>
      <w:b/>
      <w:bCs/>
      <w:i/>
      <w:iCs/>
      <w:color w:val="D34817"/>
      <w:lang w:val="en-US" w:eastAsia="zh-CN"/>
    </w:rPr>
  </w:style>
  <w:style w:type="character" w:customStyle="1" w:styleId="Titolo3Carattere">
    <w:name w:val="Titolo 3 Carattere"/>
    <w:basedOn w:val="Carpredefinitoparagrafo"/>
    <w:link w:val="Titolo3"/>
    <w:uiPriority w:val="9"/>
    <w:semiHidden/>
    <w:rsid w:val="00905848"/>
    <w:rPr>
      <w:rFonts w:asciiTheme="majorHAnsi" w:eastAsiaTheme="majorEastAsia" w:hAnsiTheme="majorHAnsi" w:cstheme="majorBidi"/>
      <w:color w:val="1F3763" w:themeColor="accent1" w:themeShade="7F"/>
      <w:sz w:val="24"/>
      <w:szCs w:val="24"/>
    </w:rPr>
  </w:style>
  <w:style w:type="character" w:styleId="Collegamentoipertestuale">
    <w:name w:val="Hyperlink"/>
    <w:uiPriority w:val="99"/>
    <w:unhideWhenUsed/>
    <w:rsid w:val="00F42C18"/>
    <w:rPr>
      <w:color w:val="CC9900"/>
      <w:u w:val="single"/>
    </w:rPr>
  </w:style>
  <w:style w:type="character" w:customStyle="1" w:styleId="Titolo2Carattere">
    <w:name w:val="Titolo 2 Carattere"/>
    <w:basedOn w:val="Carpredefinitoparagrafo"/>
    <w:link w:val="Titolo2"/>
    <w:uiPriority w:val="9"/>
    <w:semiHidden/>
    <w:rsid w:val="00A66B66"/>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911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181A"/>
  </w:style>
  <w:style w:type="paragraph" w:styleId="Pidipagina">
    <w:name w:val="footer"/>
    <w:basedOn w:val="Normale"/>
    <w:link w:val="PidipaginaCarattere"/>
    <w:uiPriority w:val="99"/>
    <w:unhideWhenUsed/>
    <w:rsid w:val="00911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89506">
      <w:bodyDiv w:val="1"/>
      <w:marLeft w:val="0"/>
      <w:marRight w:val="0"/>
      <w:marTop w:val="0"/>
      <w:marBottom w:val="0"/>
      <w:divBdr>
        <w:top w:val="none" w:sz="0" w:space="0" w:color="auto"/>
        <w:left w:val="none" w:sz="0" w:space="0" w:color="auto"/>
        <w:bottom w:val="none" w:sz="0" w:space="0" w:color="auto"/>
        <w:right w:val="none" w:sz="0" w:space="0" w:color="auto"/>
      </w:divBdr>
    </w:div>
    <w:div w:id="672296113">
      <w:bodyDiv w:val="1"/>
      <w:marLeft w:val="0"/>
      <w:marRight w:val="0"/>
      <w:marTop w:val="0"/>
      <w:marBottom w:val="0"/>
      <w:divBdr>
        <w:top w:val="none" w:sz="0" w:space="0" w:color="auto"/>
        <w:left w:val="none" w:sz="0" w:space="0" w:color="auto"/>
        <w:bottom w:val="none" w:sz="0" w:space="0" w:color="auto"/>
        <w:right w:val="none" w:sz="0" w:space="0" w:color="auto"/>
      </w:divBdr>
    </w:div>
    <w:div w:id="725571741">
      <w:bodyDiv w:val="1"/>
      <w:marLeft w:val="0"/>
      <w:marRight w:val="0"/>
      <w:marTop w:val="0"/>
      <w:marBottom w:val="0"/>
      <w:divBdr>
        <w:top w:val="none" w:sz="0" w:space="0" w:color="auto"/>
        <w:left w:val="none" w:sz="0" w:space="0" w:color="auto"/>
        <w:bottom w:val="none" w:sz="0" w:space="0" w:color="auto"/>
        <w:right w:val="none" w:sz="0" w:space="0" w:color="auto"/>
      </w:divBdr>
    </w:div>
    <w:div w:id="1150246582">
      <w:bodyDiv w:val="1"/>
      <w:marLeft w:val="0"/>
      <w:marRight w:val="0"/>
      <w:marTop w:val="0"/>
      <w:marBottom w:val="0"/>
      <w:divBdr>
        <w:top w:val="none" w:sz="0" w:space="0" w:color="auto"/>
        <w:left w:val="none" w:sz="0" w:space="0" w:color="auto"/>
        <w:bottom w:val="none" w:sz="0" w:space="0" w:color="auto"/>
        <w:right w:val="none" w:sz="0" w:space="0" w:color="auto"/>
      </w:divBdr>
    </w:div>
    <w:div w:id="1225988916">
      <w:bodyDiv w:val="1"/>
      <w:marLeft w:val="0"/>
      <w:marRight w:val="0"/>
      <w:marTop w:val="0"/>
      <w:marBottom w:val="0"/>
      <w:divBdr>
        <w:top w:val="none" w:sz="0" w:space="0" w:color="auto"/>
        <w:left w:val="none" w:sz="0" w:space="0" w:color="auto"/>
        <w:bottom w:val="none" w:sz="0" w:space="0" w:color="auto"/>
        <w:right w:val="none" w:sz="0" w:space="0" w:color="auto"/>
      </w:divBdr>
    </w:div>
    <w:div w:id="1476991394">
      <w:bodyDiv w:val="1"/>
      <w:marLeft w:val="0"/>
      <w:marRight w:val="0"/>
      <w:marTop w:val="0"/>
      <w:marBottom w:val="0"/>
      <w:divBdr>
        <w:top w:val="none" w:sz="0" w:space="0" w:color="auto"/>
        <w:left w:val="none" w:sz="0" w:space="0" w:color="auto"/>
        <w:bottom w:val="none" w:sz="0" w:space="0" w:color="auto"/>
        <w:right w:val="none" w:sz="0" w:space="0" w:color="auto"/>
      </w:divBdr>
    </w:div>
    <w:div w:id="1608272549">
      <w:bodyDiv w:val="1"/>
      <w:marLeft w:val="0"/>
      <w:marRight w:val="0"/>
      <w:marTop w:val="0"/>
      <w:marBottom w:val="0"/>
      <w:divBdr>
        <w:top w:val="none" w:sz="0" w:space="0" w:color="auto"/>
        <w:left w:val="none" w:sz="0" w:space="0" w:color="auto"/>
        <w:bottom w:val="none" w:sz="0" w:space="0" w:color="auto"/>
        <w:right w:val="none" w:sz="0" w:space="0" w:color="auto"/>
      </w:divBdr>
    </w:div>
    <w:div w:id="1798598358">
      <w:bodyDiv w:val="1"/>
      <w:marLeft w:val="0"/>
      <w:marRight w:val="0"/>
      <w:marTop w:val="0"/>
      <w:marBottom w:val="0"/>
      <w:divBdr>
        <w:top w:val="none" w:sz="0" w:space="0" w:color="auto"/>
        <w:left w:val="none" w:sz="0" w:space="0" w:color="auto"/>
        <w:bottom w:val="none" w:sz="0" w:space="0" w:color="auto"/>
        <w:right w:val="none" w:sz="0" w:space="0" w:color="auto"/>
      </w:divBdr>
    </w:div>
    <w:div w:id="1811971670">
      <w:bodyDiv w:val="1"/>
      <w:marLeft w:val="0"/>
      <w:marRight w:val="0"/>
      <w:marTop w:val="0"/>
      <w:marBottom w:val="0"/>
      <w:divBdr>
        <w:top w:val="none" w:sz="0" w:space="0" w:color="auto"/>
        <w:left w:val="none" w:sz="0" w:space="0" w:color="auto"/>
        <w:bottom w:val="none" w:sz="0" w:space="0" w:color="auto"/>
        <w:right w:val="none" w:sz="0" w:space="0" w:color="auto"/>
      </w:divBdr>
    </w:div>
    <w:div w:id="20484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1FDD-EA48-4B05-83CF-19103A55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4227</Words>
  <Characters>24096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MARTIN</dc:creator>
  <cp:keywords/>
  <dc:description/>
  <cp:lastModifiedBy>Silvia Carrel</cp:lastModifiedBy>
  <cp:revision>2</cp:revision>
  <cp:lastPrinted>2024-10-16T05:27:00Z</cp:lastPrinted>
  <dcterms:created xsi:type="dcterms:W3CDTF">2024-10-16T09:41:00Z</dcterms:created>
  <dcterms:modified xsi:type="dcterms:W3CDTF">2024-10-16T09:41:00Z</dcterms:modified>
</cp:coreProperties>
</file>